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440515-2023-01076</w:t>
      </w:r>
    </w:p>
    <w:p>
      <w:pPr>
        <w:jc w:val="center"/>
      </w:pPr>
      <w:r>
        <w:rPr>
          <w:b/>
          <w:sz w:val="24"/>
        </w:rPr>
        <w:t>采购项目编号：</w:t>
      </w:r>
      <w:r>
        <w:rPr>
          <w:b/>
          <w:sz w:val="24"/>
        </w:rPr>
        <w:t>HSCGZB202309</w:t>
      </w:r>
    </w:p>
    <w:p>
      <w:pPr>
        <w:jc w:val="center"/>
      </w:pPr>
      <w:r>
        <w:rPr>
          <w:b/>
          <w:sz w:val="24"/>
        </w:rPr>
        <w:t>项目名称：</w:t>
      </w:r>
      <w:r>
        <w:rPr>
          <w:b/>
          <w:sz w:val="24"/>
        </w:rPr>
        <w:t>汕头市澄海区殡仪馆卫生棺采购项目</w:t>
      </w:r>
    </w:p>
    <w:p>
      <w:pPr>
        <w:jc w:val="center"/>
      </w:pPr>
      <w:r>
        <w:rPr>
          <w:b/>
          <w:sz w:val="24"/>
        </w:rPr>
        <w:t>采购人：</w:t>
      </w:r>
      <w:r>
        <w:rPr>
          <w:b/>
          <w:sz w:val="24"/>
        </w:rPr>
        <w:t>汕头市澄海区殡仪馆</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汕头市澄海区殡仪馆</w:t>
      </w:r>
      <w:r>
        <w:rPr/>
        <w:t>的委托，采用</w:t>
      </w:r>
      <w:r>
        <w:rPr/>
        <w:t>公开招标</w:t>
      </w:r>
      <w:r>
        <w:rPr/>
        <w:t>方式组织采购</w:t>
      </w:r>
      <w:r>
        <w:rPr/>
        <w:t>汕头市澄海区殡仪馆卫生棺采购项目</w:t>
      </w:r>
      <w:r>
        <w:rPr/>
        <w:t>。欢迎符合资格条件的国内供应商参加投标。</w:t>
      </w:r>
    </w:p>
    <w:p>
      <w:r>
        <w:rPr>
          <w:b/>
          <w:sz w:val="28"/>
        </w:rPr>
        <w:t>一.项目概述</w:t>
      </w:r>
    </w:p>
    <w:p>
      <w:r>
        <w:rPr>
          <w:b/>
          <w:sz w:val="24"/>
        </w:rPr>
        <w:t>1.名称与编号</w:t>
      </w:r>
    </w:p>
    <w:p>
      <w:pPr>
        <w:ind w:firstLine="480"/>
      </w:pPr>
      <w:r>
        <w:rPr/>
        <w:t>项目名称：</w:t>
      </w:r>
      <w:r>
        <w:rPr/>
        <w:t>汕头市澄海区殡仪馆卫生棺采购项目</w:t>
      </w:r>
    </w:p>
    <w:p>
      <w:pPr>
        <w:ind w:firstLine="480"/>
      </w:pPr>
      <w:r>
        <w:rPr/>
        <w:t>采购计划编号：</w:t>
      </w:r>
      <w:r>
        <w:rPr/>
        <w:t>440515-2023-01076</w:t>
      </w:r>
    </w:p>
    <w:p>
      <w:pPr>
        <w:ind w:firstLine="480"/>
      </w:pPr>
      <w:r>
        <w:rPr/>
        <w:t>采购项目编号：</w:t>
      </w:r>
      <w:r>
        <w:rPr/>
        <w:t>HSCGZB202309</w:t>
      </w:r>
    </w:p>
    <w:p>
      <w:pPr>
        <w:ind w:firstLine="480"/>
      </w:pPr>
      <w:r>
        <w:rPr/>
        <w:t>采购方式：</w:t>
      </w:r>
      <w:r>
        <w:rPr/>
        <w:t>公开招标</w:t>
      </w:r>
    </w:p>
    <w:p>
      <w:pPr>
        <w:ind w:firstLine="480"/>
      </w:pPr>
      <w:r>
        <w:rPr/>
        <w:t>预算金额：</w:t>
      </w:r>
      <w:r>
        <w:rPr/>
        <w:t>4,299,735.00</w:t>
      </w:r>
      <w:r>
        <w:rPr/>
        <w:t>元</w:t>
      </w:r>
    </w:p>
    <w:p>
      <w:r>
        <w:rPr>
          <w:b/>
          <w:sz w:val="24"/>
        </w:rPr>
        <w:t>2.项目内容及需求情况（采购项目技术规格、参数及要求）</w:t>
      </w:r>
    </w:p>
    <w:p>
      <w:pPr>
        <w:ind w:firstLine="480"/>
      </w:pPr>
    </w:p>
    <w:p/>
    <w:p>
      <w:r>
        <w:rPr/>
        <w:t>采购包1(汕头市澄海区卫生棺采购项目):</w:t>
      </w:r>
    </w:p>
    <w:p>
      <w:r>
        <w:rPr/>
        <w:t>采购包预算金额：4,299,735.00元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其他殡葬设备及用品</w:t>
            </w:r>
          </w:p>
        </w:tc>
        <w:tc>
          <w:tcPr>
            <w:tcW w:type="dxa" w:w="2052"/>
          </w:tcPr>
          <w:p>
            <w:r>
              <w:rPr/>
              <w:t>高档类棺木</w:t>
            </w:r>
          </w:p>
        </w:tc>
        <w:tc>
          <w:tcPr>
            <w:tcW w:type="dxa" w:w="977"/>
          </w:tcPr>
          <w:p>
            <w:r>
              <w:rPr/>
              <w:t>95(个)</w:t>
            </w:r>
          </w:p>
        </w:tc>
        <w:tc>
          <w:tcPr>
            <w:tcW w:type="dxa" w:w="977"/>
          </w:tcPr>
          <w:p>
            <w:r>
              <w:rPr/>
              <w:t>详见第二章</w:t>
            </w:r>
          </w:p>
        </w:tc>
        <w:tc>
          <w:tcPr>
            <w:tcW w:type="dxa" w:w="977"/>
          </w:tcPr>
          <w:p>
            <w:r>
              <w:rPr/>
              <w:t>144,210.00</w:t>
            </w:r>
          </w:p>
        </w:tc>
        <w:tc>
          <w:tcPr>
            <w:tcW w:type="dxa" w:w="977"/>
          </w:tcPr>
          <w:p>
            <w:r>
              <w:rPr/>
              <w:t>否</w:t>
            </w:r>
          </w:p>
        </w:tc>
      </w:tr>
      <w:tr>
        <w:tc>
          <w:tcPr>
            <w:tcW w:type="dxa" w:w="977"/>
          </w:tcPr>
          <w:p>
            <w:r>
              <w:rPr/>
              <w:t>1-2</w:t>
            </w:r>
          </w:p>
        </w:tc>
        <w:tc>
          <w:tcPr>
            <w:tcW w:type="dxa" w:w="1368"/>
          </w:tcPr>
          <w:p>
            <w:r>
              <w:rPr/>
              <w:t>其他殡葬设备及用品</w:t>
            </w:r>
          </w:p>
        </w:tc>
        <w:tc>
          <w:tcPr>
            <w:tcW w:type="dxa" w:w="2052"/>
          </w:tcPr>
          <w:p>
            <w:r>
              <w:rPr/>
              <w:t>中档类棺木</w:t>
            </w:r>
          </w:p>
        </w:tc>
        <w:tc>
          <w:tcPr>
            <w:tcW w:type="dxa" w:w="977"/>
          </w:tcPr>
          <w:p>
            <w:r>
              <w:rPr/>
              <w:t>485(个)</w:t>
            </w:r>
          </w:p>
        </w:tc>
        <w:tc>
          <w:tcPr>
            <w:tcW w:type="dxa" w:w="977"/>
          </w:tcPr>
          <w:p>
            <w:r>
              <w:rPr/>
              <w:t>详见第二章</w:t>
            </w:r>
          </w:p>
        </w:tc>
        <w:tc>
          <w:tcPr>
            <w:tcW w:type="dxa" w:w="977"/>
          </w:tcPr>
          <w:p>
            <w:r>
              <w:rPr/>
              <w:t>522,830.00</w:t>
            </w:r>
          </w:p>
        </w:tc>
        <w:tc>
          <w:tcPr>
            <w:tcW w:type="dxa" w:w="977"/>
          </w:tcPr>
          <w:p>
            <w:r>
              <w:rPr/>
              <w:t>否</w:t>
            </w:r>
          </w:p>
        </w:tc>
      </w:tr>
      <w:tr>
        <w:tc>
          <w:tcPr>
            <w:tcW w:type="dxa" w:w="977"/>
          </w:tcPr>
          <w:p>
            <w:r>
              <w:rPr/>
              <w:t>1-3</w:t>
            </w:r>
          </w:p>
        </w:tc>
        <w:tc>
          <w:tcPr>
            <w:tcW w:type="dxa" w:w="1368"/>
          </w:tcPr>
          <w:p>
            <w:r>
              <w:rPr/>
              <w:t>其他殡葬设备及用品</w:t>
            </w:r>
          </w:p>
        </w:tc>
        <w:tc>
          <w:tcPr>
            <w:tcW w:type="dxa" w:w="2052"/>
          </w:tcPr>
          <w:p>
            <w:r>
              <w:rPr/>
              <w:t>低档类棺木</w:t>
            </w:r>
          </w:p>
        </w:tc>
        <w:tc>
          <w:tcPr>
            <w:tcW w:type="dxa" w:w="977"/>
          </w:tcPr>
          <w:p>
            <w:r>
              <w:rPr/>
              <w:t>5500(个)</w:t>
            </w:r>
          </w:p>
        </w:tc>
        <w:tc>
          <w:tcPr>
            <w:tcW w:type="dxa" w:w="977"/>
          </w:tcPr>
          <w:p>
            <w:r>
              <w:rPr/>
              <w:t>详见第二章</w:t>
            </w:r>
          </w:p>
        </w:tc>
        <w:tc>
          <w:tcPr>
            <w:tcW w:type="dxa" w:w="977"/>
          </w:tcPr>
          <w:p>
            <w:r>
              <w:rPr/>
              <w:t>3,630,000.00</w:t>
            </w:r>
          </w:p>
        </w:tc>
        <w:tc>
          <w:tcPr>
            <w:tcW w:type="dxa" w:w="977"/>
          </w:tcPr>
          <w:p>
            <w:r>
              <w:rPr/>
              <w:t>否</w:t>
            </w:r>
          </w:p>
        </w:tc>
      </w:tr>
      <w:tr>
        <w:tc>
          <w:tcPr>
            <w:tcW w:type="dxa" w:w="977"/>
          </w:tcPr>
          <w:p>
            <w:r>
              <w:rPr/>
              <w:t>1-4</w:t>
            </w:r>
          </w:p>
        </w:tc>
        <w:tc>
          <w:tcPr>
            <w:tcW w:type="dxa" w:w="1368"/>
          </w:tcPr>
          <w:p>
            <w:r>
              <w:rPr/>
              <w:t>其他殡葬设备及用品</w:t>
            </w:r>
          </w:p>
        </w:tc>
        <w:tc>
          <w:tcPr>
            <w:tcW w:type="dxa" w:w="2052"/>
          </w:tcPr>
          <w:p>
            <w:r>
              <w:rPr/>
              <w:t>惠民棺木</w:t>
            </w:r>
          </w:p>
        </w:tc>
        <w:tc>
          <w:tcPr>
            <w:tcW w:type="dxa" w:w="977"/>
          </w:tcPr>
          <w:p>
            <w:r>
              <w:rPr/>
              <w:t>7(个)</w:t>
            </w:r>
          </w:p>
        </w:tc>
        <w:tc>
          <w:tcPr>
            <w:tcW w:type="dxa" w:w="977"/>
          </w:tcPr>
          <w:p>
            <w:r>
              <w:rPr/>
              <w:t>详见第二章</w:t>
            </w:r>
          </w:p>
        </w:tc>
        <w:tc>
          <w:tcPr>
            <w:tcW w:type="dxa" w:w="977"/>
          </w:tcPr>
          <w:p>
            <w:r>
              <w:rPr/>
              <w:t>2,695.00</w:t>
            </w:r>
          </w:p>
        </w:tc>
        <w:tc>
          <w:tcPr>
            <w:tcW w:type="dxa" w:w="977"/>
          </w:tcPr>
          <w:p>
            <w:r>
              <w:rPr/>
              <w:t>否</w:t>
            </w:r>
          </w:p>
        </w:tc>
      </w:tr>
    </w:tbl>
    <w:p/>
    <w:p>
      <w:r>
        <w:rPr/>
        <w:t>本采购包不接受联合体投标</w:t>
      </w:r>
    </w:p>
    <w:p/>
    <w:p>
      <w:r>
        <w:rPr/>
        <w:t>合同履行期限：自合同签订之日起至合同所有权利义务履行完毕止。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采购包1（汕头市澄海区卫生棺采购项目）：</w:t>
      </w:r>
      <w:r>
        <w:rPr/>
        <w:t>要求获得采购合同的供应商将40.0%分包给一家或多家中小企业或参与的供应商（联合体）提供的货物全部由符合政策要求的中小企业制造。</w:t>
      </w:r>
    </w:p>
    <w:p/>
    <w:p>
      <w:r>
        <w:rPr>
          <w:b/>
          <w:sz w:val="24"/>
        </w:rPr>
        <w:t>3.本项目特定的资格要求：</w:t>
      </w:r>
    </w:p>
    <w:p>
      <w:pPr>
        <w:ind w:firstLine="480"/>
      </w:pPr>
    </w:p>
    <w:p/>
    <w:p>
      <w:r>
        <w:rPr/>
        <w:t>采购包1（汕头市澄海区卫生棺采购项目）：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汕头市澄海区殡仪馆</w:t>
      </w:r>
    </w:p>
    <w:p>
      <w:pPr>
        <w:ind w:firstLine="480"/>
      </w:pPr>
      <w:r>
        <w:rPr/>
        <w:t>地址：</w:t>
      </w:r>
      <w:r>
        <w:rPr/>
        <w:t>汕头市澄海区莲上镇与溪南镇交界南峙山</w:t>
      </w:r>
    </w:p>
    <w:p>
      <w:pPr>
        <w:ind w:firstLine="480"/>
      </w:pPr>
      <w:r>
        <w:rPr/>
        <w:t>联系方式：</w:t>
      </w:r>
      <w:r>
        <w:rPr/>
        <w:t>0754-85102954</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、项目名称：澄海区殡仪馆卫生棺采购项目</w:t>
      </w:r>
    </w:p>
    <w:p>
      <w:pPr>
        <w:jc w:val="both"/>
      </w:pPr>
      <w:r>
        <w:rPr>
          <w:sz w:val="21"/>
        </w:rPr>
        <w:t>2</w:t>
      </w:r>
      <w:r>
        <w:rPr>
          <w:sz w:val="21"/>
        </w:rPr>
        <w:t>、采购人：汕头市澄海区殡仪馆</w:t>
      </w:r>
    </w:p>
    <w:p>
      <w:pPr>
        <w:jc w:val="both"/>
      </w:pPr>
      <w:r>
        <w:rPr>
          <w:sz w:val="21"/>
        </w:rPr>
        <w:t>3</w:t>
      </w:r>
      <w:r>
        <w:rPr>
          <w:sz w:val="21"/>
        </w:rPr>
        <w:t>、项目内容：采购卫生棺一批。</w:t>
      </w:r>
    </w:p>
    <w:p/>
    <w:p>
      <w:pPr>
        <w:ind w:firstLine="480"/>
      </w:pPr>
    </w:p>
    <w:p/>
    <w:p>
      <w:r>
        <w:rPr/>
        <w:t>采购包1（汕头市澄海区卫生棺采购项目）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一年（若合同金额达到采购预算金额，则项目提前到期）。</w:t>
            </w:r>
          </w:p>
        </w:tc>
      </w:tr>
      <w:tr>
        <w:tc>
          <w:tcPr>
            <w:tcW w:type="dxa" w:w="4153"/>
          </w:tcPr>
          <w:p>
            <w:r>
              <w:rPr/>
              <w:t>标的提供的地点</w:t>
            </w:r>
          </w:p>
        </w:tc>
        <w:tc>
          <w:tcPr>
            <w:tcW w:type="dxa" w:w="4153"/>
          </w:tcPr>
          <w:p/>
          <w:p>
            <w:r>
              <w:rPr/>
              <w:t>采购人指定的地点。</w:t>
            </w:r>
          </w:p>
        </w:tc>
      </w:tr>
      <w:tr>
        <w:tc>
          <w:tcPr>
            <w:tcW w:type="dxa" w:w="4153"/>
          </w:tcPr>
          <w:p>
            <w:r>
              <w:rPr/>
              <w:t>付款方式</w:t>
            </w:r>
          </w:p>
        </w:tc>
        <w:tc>
          <w:tcPr>
            <w:tcW w:type="dxa" w:w="4153"/>
          </w:tcPr>
          <w:p/>
          <w:p/>
          <w:p>
            <w:r>
              <w:rPr/>
              <w:t>1期：支付比例100%,按月支付，采购人收到中标人开具的上一个月相应款额发票后7天内向中标人支付上一个月相应款额的100%。</w:t>
            </w:r>
          </w:p>
        </w:tc>
      </w:tr>
      <w:tr>
        <w:tc>
          <w:tcPr>
            <w:tcW w:type="dxa" w:w="4153"/>
          </w:tcPr>
          <w:p>
            <w:r>
              <w:rPr/>
              <w:t>验收要求</w:t>
            </w:r>
          </w:p>
        </w:tc>
        <w:tc>
          <w:tcPr>
            <w:tcW w:type="dxa" w:w="4153"/>
          </w:tcPr>
          <w:p/>
          <w:p/>
          <w:p/>
          <w:p>
            <w:r>
              <w:rPr/>
              <w:t>1期：1.按火化棺通用技术条件（GB/31182-2014）、燃油式火化机通用技术条件（GB 19054-2003）等相关规范进行验收。验收时如发现所交付的货物有短装、次品、损坏或其它不符合本招标文件及合同规定之情形者，采购人应做出详细的现场记录，或由采购人和中标人双方签署备忘录。此现场记录或备忘录可用作补充、缺失和更换损坏货物的有效证据。由此产生的有关费用由中标人承担。2.中标人应将出厂合格证等有关资料交付给采购人。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其他，一、投标报价:项目采购预算为人民币 4,299,735.00元，投标报价包含但不限于：货物本身价格、运输、税金等一切费用。所有价格均应为人民币报价，金额单位为元。供应商投标报价不得高于项目采购预算及最高单价限价，否则按无效投标处理。取中标人的投标报价作为合同价及中标单价。  二、质量保证: 1、供应商应保证提供的货物质量达到火化棺通用技术条件（GB/31182-2014）、  燃油式火化机通用技术条件（GB 19054-2003）及招标文件要求的标准。如货物不符合要求，由此产生的一切费用由中标人负责。  2、供应商应保证所有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3、投标产品需附有《产品说明书》,内容包括彩色图片、技术性能说明及规格、参数，使用主材料和辅材料的说明及使用说明。 4、投标产品要求选料考究、做工精艺、生产场地清洁、加工设备先进，保证在生产过程中主料、辅料、半成品和成品的卫生，避免污染。 5、材质上按照采购合同规定，应不易潮湿变质弯曲，承受规定重量。 6、工艺上整体不粗糙，包边饰品与棺木内部不能有毛刺。 7、所有卫生棺均需配有扶手，棺底采用倒角且不影响棺木整体美观。 8、中标货物所使用的原材料必须是在正规厂家进行采购，按照招标文件的要求及投标文件的承诺进行采购加工，不得以旧代新、以次充好。 9、投标产品的质量必须符合国家技术有关要求并具有《合格证书》。中标人参照《部分商品修理更换退货责任规定》对所提供的商量实行质量“三包”。如果因产品质量问题给采购人造成损失，中标人应负全部责任。 10、供应商保证提供货物不侵犯任何第三方的专利、商标或版权。否则，供应商须承担对第三方的专利或版权的侵权责任并承担因此而发生的所有费用。 11、质量标准：国家及行业等现行验评标准合格等级。 12、供应商应将货物出厂合格证书等交付给采购人。 13、供货要求：供应商须将所有货物以原厂家包装运送至采购人指点地点，由采购人验收人员现场检查合格。 三、伴随服务要求: 1、所有货物均由供应商免费送货至采购人指定的项目地点存放。 2、所有货物交付后的拆箱、存放等工作(包括其费用)由中标人负责，但必须在用户指定人员的参与下进行。原始记录需经各方签名后作为验收的文件之一。  3、应按出厂标准及国家有关要求进行包装及运输：产品有品名、规格型号、厂名及合格标识。包装均应有良好的防湿、防锈、防潮、防雨、防腐及防碰撞的措施。凡由于包装不良、运输不慎所造成的损失和由此而产生的退换货等一切费用均由中标人承担。  四、售后服务要求: 1、投标人需提供详细的质量保证承诺及售后服务计划。货物送达采购人指定的地点后，如非采购人人为发生货物损坏的，供货商应及时退、换货。 2、采购人如要求中标人提供非产品质量问题的服务，其费用另议。 3、在合同期内，按中标时所报单价结算，不得以人工、材料成本上升原因，对供货价格上调。 4、如果中标人的产品存在质量问题，采购人可暂停代销该品种产品，要求中标人及时整改。如果整改3次仍不能满足质量要求，则采购人有权停止代销该品种产品或终止合同，所造成的一切损失由中标人承担。 五、其他要求： 1、若采购人因客户订单的特殊要求，临时性需要特殊尺寸的产品，中标人应积极响应，一次性按要求制作好特殊尺寸的产品，并在指定日期内送至采购人指定地点，价格由双方协商确定。 2、为保证货物质量中标人应具备年产不少陆仟套的能力以备客户需求，避免因求进度而导致质量下降（提供承诺函）。 3、专利权：中标人须保障买方在使用其货物或货物的任何一部分时，不受到第三方关于侵犯专利权、商标权或工业设计权的指控。任何第三方如果提出侵权指控，卖方须与第三方交涉并承担由此而引起的一切法律责任和费用（提供承诺函）。 六、预留给中小企业的份额比例:根据《广东省财政厅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提供承诺函）。 七、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八、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九、如出现不定因素或者不可抗力，采购人需求量骤增，中标人应保证及时足量供货（投标时提交承诺，格式自拟）。</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其他殡葬设备及用品</w:t>
            </w:r>
          </w:p>
        </w:tc>
        <w:tc>
          <w:tcPr>
            <w:tcW w:type="dxa" w:w="831"/>
          </w:tcPr>
          <w:p>
            <w:pPr>
              <w:jc w:val="left"/>
            </w:pPr>
            <w:r>
              <w:rPr/>
              <w:t>高档类棺木</w:t>
            </w:r>
          </w:p>
        </w:tc>
        <w:tc>
          <w:tcPr>
            <w:tcW w:type="dxa" w:w="831"/>
          </w:tcPr>
          <w:p>
            <w:pPr>
              <w:jc w:val="left"/>
            </w:pPr>
            <w:r>
              <w:rPr/>
              <w:t>个</w:t>
            </w:r>
          </w:p>
        </w:tc>
        <w:tc>
          <w:tcPr>
            <w:tcW w:type="dxa" w:w="831"/>
          </w:tcPr>
          <w:p>
            <w:pPr>
              <w:jc w:val="right"/>
            </w:pPr>
            <w:r>
              <w:rPr/>
              <w:t>95.00</w:t>
            </w:r>
          </w:p>
        </w:tc>
        <w:tc>
          <w:tcPr>
            <w:tcW w:type="dxa" w:w="831"/>
          </w:tcPr>
          <w:p>
            <w:pPr>
              <w:jc w:val="right"/>
            </w:pPr>
            <w:r>
              <w:rPr/>
              <w:t>1,518.00</w:t>
            </w:r>
          </w:p>
        </w:tc>
        <w:tc>
          <w:tcPr>
            <w:tcW w:type="dxa" w:w="831"/>
          </w:tcPr>
          <w:p>
            <w:pPr>
              <w:jc w:val="right"/>
            </w:pPr>
            <w:r>
              <w:rPr/>
              <w:t>144,210.00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其他殡葬设备及用品</w:t>
            </w:r>
          </w:p>
        </w:tc>
        <w:tc>
          <w:tcPr>
            <w:tcW w:type="dxa" w:w="831"/>
          </w:tcPr>
          <w:p>
            <w:pPr>
              <w:jc w:val="left"/>
            </w:pPr>
            <w:r>
              <w:rPr/>
              <w:t>中档类棺木</w:t>
            </w:r>
          </w:p>
        </w:tc>
        <w:tc>
          <w:tcPr>
            <w:tcW w:type="dxa" w:w="831"/>
          </w:tcPr>
          <w:p>
            <w:pPr>
              <w:jc w:val="left"/>
            </w:pPr>
            <w:r>
              <w:rPr/>
              <w:t>个</w:t>
            </w:r>
          </w:p>
        </w:tc>
        <w:tc>
          <w:tcPr>
            <w:tcW w:type="dxa" w:w="831"/>
          </w:tcPr>
          <w:p>
            <w:pPr>
              <w:jc w:val="right"/>
            </w:pPr>
            <w:r>
              <w:rPr/>
              <w:t>485.00</w:t>
            </w:r>
          </w:p>
        </w:tc>
        <w:tc>
          <w:tcPr>
            <w:tcW w:type="dxa" w:w="831"/>
          </w:tcPr>
          <w:p>
            <w:pPr>
              <w:jc w:val="right"/>
            </w:pPr>
            <w:r>
              <w:rPr/>
              <w:t>1,078.00</w:t>
            </w:r>
          </w:p>
        </w:tc>
        <w:tc>
          <w:tcPr>
            <w:tcW w:type="dxa" w:w="831"/>
          </w:tcPr>
          <w:p>
            <w:pPr>
              <w:jc w:val="right"/>
            </w:pPr>
            <w:r>
              <w:rPr/>
              <w:t>522,830.00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其他殡葬设备及用品</w:t>
            </w:r>
          </w:p>
        </w:tc>
        <w:tc>
          <w:tcPr>
            <w:tcW w:type="dxa" w:w="831"/>
          </w:tcPr>
          <w:p>
            <w:pPr>
              <w:jc w:val="left"/>
            </w:pPr>
            <w:r>
              <w:rPr/>
              <w:t>低档类棺木</w:t>
            </w:r>
          </w:p>
        </w:tc>
        <w:tc>
          <w:tcPr>
            <w:tcW w:type="dxa" w:w="831"/>
          </w:tcPr>
          <w:p>
            <w:pPr>
              <w:jc w:val="left"/>
            </w:pPr>
            <w:r>
              <w:rPr/>
              <w:t>个</w:t>
            </w:r>
          </w:p>
        </w:tc>
        <w:tc>
          <w:tcPr>
            <w:tcW w:type="dxa" w:w="831"/>
          </w:tcPr>
          <w:p>
            <w:pPr>
              <w:jc w:val="right"/>
            </w:pPr>
            <w:r>
              <w:rPr/>
              <w:t>5,500.00</w:t>
            </w:r>
          </w:p>
        </w:tc>
        <w:tc>
          <w:tcPr>
            <w:tcW w:type="dxa" w:w="831"/>
          </w:tcPr>
          <w:p>
            <w:pPr>
              <w:jc w:val="right"/>
            </w:pPr>
            <w:r>
              <w:rPr/>
              <w:t>660.00</w:t>
            </w:r>
          </w:p>
        </w:tc>
        <w:tc>
          <w:tcPr>
            <w:tcW w:type="dxa" w:w="831"/>
          </w:tcPr>
          <w:p>
            <w:pPr>
              <w:jc w:val="right"/>
            </w:pPr>
            <w:r>
              <w:rPr/>
              <w:t>3,630,000.00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其他殡葬设备及用品</w:t>
            </w:r>
          </w:p>
        </w:tc>
        <w:tc>
          <w:tcPr>
            <w:tcW w:type="dxa" w:w="831"/>
          </w:tcPr>
          <w:p>
            <w:pPr>
              <w:jc w:val="left"/>
            </w:pPr>
            <w:r>
              <w:rPr/>
              <w:t>惠民棺木</w:t>
            </w:r>
          </w:p>
        </w:tc>
        <w:tc>
          <w:tcPr>
            <w:tcW w:type="dxa" w:w="831"/>
          </w:tcPr>
          <w:p>
            <w:pPr>
              <w:jc w:val="left"/>
            </w:pPr>
            <w:r>
              <w:rPr/>
              <w:t>个</w:t>
            </w:r>
          </w:p>
        </w:tc>
        <w:tc>
          <w:tcPr>
            <w:tcW w:type="dxa" w:w="831"/>
          </w:tcPr>
          <w:p>
            <w:pPr>
              <w:jc w:val="right"/>
            </w:pPr>
            <w:r>
              <w:rPr/>
              <w:t>7.00</w:t>
            </w:r>
          </w:p>
        </w:tc>
        <w:tc>
          <w:tcPr>
            <w:tcW w:type="dxa" w:w="831"/>
          </w:tcPr>
          <w:p>
            <w:pPr>
              <w:jc w:val="right"/>
            </w:pPr>
            <w:r>
              <w:rPr/>
              <w:t>385.00</w:t>
            </w:r>
          </w:p>
        </w:tc>
        <w:tc>
          <w:tcPr>
            <w:tcW w:type="dxa" w:w="831"/>
          </w:tcPr>
          <w:p>
            <w:pPr>
              <w:jc w:val="right"/>
            </w:pPr>
            <w:r>
              <w:rPr/>
              <w:t>2,695.00</w:t>
            </w:r>
          </w:p>
        </w:tc>
        <w:tc>
          <w:tcPr>
            <w:tcW w:type="dxa" w:w="831"/>
          </w:tcPr>
          <w:p>
            <w:r>
              <w:rPr/>
              <w:t>工业</w:t>
            </w:r>
          </w:p>
        </w:tc>
        <w:tc>
          <w:tcPr>
            <w:tcW w:type="dxa" w:w="831"/>
          </w:tcPr>
          <w:p>
            <w:r>
              <w:rPr/>
              <w:t>详见附表四</w:t>
            </w:r>
          </w:p>
        </w:tc>
      </w:tr>
    </w:tbl>
    <w:p/>
    <w:p>
      <w:r>
        <w:rPr>
          <w:b/>
        </w:rPr>
        <w:t>附表</w:t>
      </w:r>
      <w:r>
        <w:rPr>
          <w:b/>
        </w:rPr>
        <w:t>一</w:t>
      </w:r>
      <w:r>
        <w:rPr>
          <w:b/>
        </w:rPr>
        <w:t>：</w:t>
      </w:r>
      <w:r>
        <w:rPr>
          <w:b/>
        </w:rPr>
        <w:t>高档类棺木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885"/>
              <w:gridCol w:w="2130"/>
              <w:gridCol w:w="870"/>
              <w:gridCol w:w="840"/>
              <w:gridCol w:w="840"/>
            </w:tblGrid>
            <w:tr>
              <w:tc>
                <w:tcPr>
                  <w:tcW w:type="dxa" w:w="885"/>
                  <w:tcBorders>
                    <w:top w:val="single" w:color="000000" w:sz="4"/>
                    <w:left w:val="single" w:color="000000" w:sz="4"/>
                    <w:bottom w:val="single" w:color="000000" w:sz="4"/>
                    <w:right w:val="single" w:color="000000" w:sz="4"/>
                  </w:tcBorders>
                  <w:vAlign w:val="top"/>
                </w:tcPr>
                <w:p>
                  <w:pPr>
                    <w:jc w:val="both"/>
                  </w:pPr>
                  <w:r>
                    <w:rPr>
                      <w:sz w:val="21"/>
                    </w:rPr>
                    <w:t>货物名称</w:t>
                  </w:r>
                </w:p>
              </w:tc>
              <w:tc>
                <w:tcPr>
                  <w:tcW w:type="dxa" w:w="2130"/>
                  <w:tcBorders>
                    <w:top w:val="single" w:color="000000" w:sz="4"/>
                    <w:left w:val="none" w:color="000000" w:sz="4"/>
                    <w:bottom w:val="single" w:color="000000" w:sz="4"/>
                    <w:right w:val="single" w:color="000000" w:sz="4"/>
                  </w:tcBorders>
                  <w:vAlign w:val="top"/>
                </w:tcPr>
                <w:p>
                  <w:pPr>
                    <w:jc w:val="both"/>
                  </w:pPr>
                  <w:r>
                    <w:rPr>
                      <w:sz w:val="21"/>
                    </w:rPr>
                    <w:t>材质及工艺要求</w:t>
                  </w:r>
                </w:p>
              </w:tc>
              <w:tc>
                <w:tcPr>
                  <w:tcW w:type="dxa" w:w="870"/>
                  <w:tcBorders>
                    <w:top w:val="single" w:color="000000" w:sz="4"/>
                    <w:left w:val="none" w:color="000000" w:sz="4"/>
                    <w:bottom w:val="single" w:color="000000" w:sz="4"/>
                    <w:right w:val="single" w:color="000000" w:sz="4"/>
                  </w:tcBorders>
                  <w:vAlign w:val="top"/>
                </w:tcPr>
                <w:p>
                  <w:pPr>
                    <w:jc w:val="both"/>
                  </w:pPr>
                  <w:r>
                    <w:rPr>
                      <w:sz w:val="21"/>
                    </w:rPr>
                    <w:t>承重（</w:t>
                  </w:r>
                  <w:r>
                    <w:rPr>
                      <w:sz w:val="21"/>
                    </w:rPr>
                    <w:t>KG</w:t>
                  </w:r>
                  <w:r>
                    <w:rPr>
                      <w:sz w:val="21"/>
                    </w:rPr>
                    <w:t>）</w:t>
                  </w:r>
                </w:p>
              </w:tc>
              <w:tc>
                <w:tcPr>
                  <w:tcW w:type="dxa" w:w="840"/>
                  <w:tcBorders>
                    <w:top w:val="single" w:color="000000" w:sz="4"/>
                    <w:left w:val="none" w:color="000000" w:sz="4"/>
                    <w:bottom w:val="single" w:color="000000" w:sz="4"/>
                    <w:right w:val="single" w:color="000000" w:sz="4"/>
                  </w:tcBorders>
                  <w:vAlign w:val="top"/>
                </w:tcPr>
                <w:p>
                  <w:pPr>
                    <w:jc w:val="both"/>
                  </w:pPr>
                  <w:r>
                    <w:rPr>
                      <w:sz w:val="21"/>
                    </w:rPr>
                    <w:t>最高单价限价（元）</w:t>
                  </w:r>
                </w:p>
              </w:tc>
              <w:tc>
                <w:tcPr>
                  <w:tcW w:type="dxa" w:w="840"/>
                  <w:tcBorders>
                    <w:top w:val="single" w:color="000000" w:sz="4"/>
                    <w:left w:val="none" w:color="000000" w:sz="4"/>
                    <w:bottom w:val="single" w:color="000000" w:sz="4"/>
                    <w:right w:val="single" w:color="000000" w:sz="4"/>
                  </w:tcBorders>
                  <w:vAlign w:val="top"/>
                </w:tcPr>
                <w:p>
                  <w:pPr>
                    <w:jc w:val="both"/>
                  </w:pPr>
                  <w:r>
                    <w:rPr>
                      <w:sz w:val="21"/>
                    </w:rPr>
                    <w:t>预计采购数量（个）</w:t>
                  </w:r>
                </w:p>
              </w:tc>
            </w:tr>
            <w:tr>
              <w:tc>
                <w:tcPr>
                  <w:tcW w:type="dxa" w:w="885"/>
                  <w:tcBorders>
                    <w:top w:val="none" w:color="000000" w:sz="4"/>
                    <w:left w:val="single" w:color="000000" w:sz="4"/>
                    <w:bottom w:val="single" w:color="000000" w:sz="4"/>
                    <w:right w:val="single" w:color="000000" w:sz="4"/>
                  </w:tcBorders>
                  <w:vAlign w:val="top"/>
                </w:tcPr>
                <w:p>
                  <w:pPr>
                    <w:jc w:val="both"/>
                  </w:pPr>
                  <w:r>
                    <w:rPr>
                      <w:sz w:val="21"/>
                    </w:rPr>
                    <w:t>高档类棺木</w:t>
                  </w:r>
                </w:p>
              </w:tc>
              <w:tc>
                <w:tcPr>
                  <w:tcW w:type="dxa" w:w="2130"/>
                  <w:tcBorders>
                    <w:top w:val="none" w:color="000000" w:sz="4"/>
                    <w:left w:val="none" w:color="000000" w:sz="4"/>
                    <w:bottom w:val="single" w:color="000000" w:sz="4"/>
                    <w:right w:val="single" w:color="000000" w:sz="4"/>
                  </w:tcBorders>
                  <w:vAlign w:val="top"/>
                </w:tcPr>
                <w:p>
                  <w:pPr>
                    <w:ind w:firstLine="420"/>
                    <w:jc w:val="both"/>
                  </w:pPr>
                  <w:r>
                    <w:rPr>
                      <w:sz w:val="21"/>
                    </w:rPr>
                    <w:t>1</w:t>
                  </w:r>
                  <w:r>
                    <w:rPr>
                      <w:sz w:val="21"/>
                    </w:rPr>
                    <w:t>、主材：木纹纸、纸板、中纤板、木方；</w:t>
                  </w:r>
                </w:p>
                <w:p>
                  <w:pPr>
                    <w:ind w:firstLine="420"/>
                    <w:jc w:val="both"/>
                  </w:pPr>
                  <w:r>
                    <w:rPr>
                      <w:sz w:val="21"/>
                    </w:rPr>
                    <w:t>2</w:t>
                  </w:r>
                  <w:r>
                    <w:rPr>
                      <w:sz w:val="21"/>
                    </w:rPr>
                    <w:t>、辅材：外部木纹纸、高档环保喷漆，传殡葬文化内涵元素装饰，内饰布、防水涂料、环保胶水，外观造型、花纹、图案及内饰要求外型美观，工艺精良，内饰精美；</w:t>
                  </w:r>
                </w:p>
                <w:p>
                  <w:pPr>
                    <w:ind w:firstLine="420"/>
                    <w:jc w:val="both"/>
                  </w:pPr>
                  <w:r>
                    <w:rPr>
                      <w:sz w:val="21"/>
                    </w:rPr>
                    <w:t>3</w:t>
                  </w:r>
                  <w:r>
                    <w:rPr>
                      <w:sz w:val="21"/>
                    </w:rPr>
                    <w:t>、功能：装殓火化、环保、卫生、防止细菌传播；</w:t>
                  </w:r>
                </w:p>
                <w:p>
                  <w:pPr>
                    <w:ind w:firstLine="420"/>
                    <w:jc w:val="both"/>
                  </w:pPr>
                  <w:r>
                    <w:rPr>
                      <w:sz w:val="21"/>
                    </w:rPr>
                    <w:t>4</w:t>
                  </w:r>
                  <w:r>
                    <w:rPr>
                      <w:sz w:val="21"/>
                    </w:rPr>
                    <w:t>、要求：防水、防臭、火化无杂质、无污染、重量轻、承载力强；</w:t>
                  </w:r>
                </w:p>
                <w:p>
                  <w:pPr>
                    <w:ind w:firstLine="420"/>
                    <w:jc w:val="both"/>
                  </w:pPr>
                  <w:r>
                    <w:rPr>
                      <w:sz w:val="21"/>
                    </w:rPr>
                    <w:t>5</w:t>
                  </w:r>
                  <w:r>
                    <w:rPr>
                      <w:sz w:val="21"/>
                    </w:rPr>
                    <w:t>、</w:t>
                  </w:r>
                  <w:r>
                    <w:rPr>
                      <w:sz w:val="21"/>
                    </w:rPr>
                    <w:t>▲</w:t>
                  </w:r>
                  <w:r>
                    <w:rPr>
                      <w:sz w:val="21"/>
                    </w:rPr>
                    <w:t>产品功能、制作、工艺等必须符合火化棺通用技术条件（</w:t>
                  </w:r>
                  <w:r>
                    <w:rPr>
                      <w:sz w:val="21"/>
                    </w:rPr>
                    <w:t>GB/31182-2014</w:t>
                  </w:r>
                  <w:r>
                    <w:rPr>
                      <w:sz w:val="21"/>
                    </w:rPr>
                    <w:t>）（须提供相关证明材料复印件加盖供应商单位公章）。</w:t>
                  </w:r>
                </w:p>
              </w:tc>
              <w:tc>
                <w:tcPr>
                  <w:tcW w:type="dxa" w:w="870"/>
                  <w:tcBorders>
                    <w:top w:val="none" w:color="000000" w:sz="4"/>
                    <w:left w:val="none" w:color="000000" w:sz="4"/>
                    <w:bottom w:val="single" w:color="000000" w:sz="4"/>
                    <w:right w:val="single" w:color="000000" w:sz="4"/>
                  </w:tcBorders>
                  <w:vAlign w:val="top"/>
                </w:tcPr>
                <w:p>
                  <w:pPr>
                    <w:jc w:val="both"/>
                  </w:pPr>
                  <w:r>
                    <w:rPr>
                      <w:sz w:val="21"/>
                    </w:rPr>
                    <w:t>≥100KG</w:t>
                  </w:r>
                </w:p>
              </w:tc>
              <w:tc>
                <w:tcPr>
                  <w:tcW w:type="dxa" w:w="840"/>
                  <w:tcBorders>
                    <w:top w:val="none" w:color="000000" w:sz="4"/>
                    <w:left w:val="none" w:color="000000" w:sz="4"/>
                    <w:bottom w:val="single" w:color="000000" w:sz="4"/>
                    <w:right w:val="single" w:color="000000" w:sz="4"/>
                  </w:tcBorders>
                  <w:vAlign w:val="top"/>
                </w:tcPr>
                <w:p>
                  <w:pPr>
                    <w:jc w:val="both"/>
                  </w:pPr>
                  <w:r>
                    <w:rPr>
                      <w:sz w:val="21"/>
                    </w:rPr>
                    <w:t>1518</w:t>
                  </w:r>
                </w:p>
              </w:tc>
              <w:tc>
                <w:tcPr>
                  <w:tcW w:type="dxa" w:w="840"/>
                  <w:tcBorders>
                    <w:top w:val="none" w:color="000000" w:sz="4"/>
                    <w:left w:val="none" w:color="000000" w:sz="4"/>
                    <w:bottom w:val="single" w:color="000000" w:sz="4"/>
                    <w:right w:val="single" w:color="000000" w:sz="4"/>
                  </w:tcBorders>
                  <w:vAlign w:val="top"/>
                </w:tcPr>
                <w:p>
                  <w:pPr>
                    <w:jc w:val="both"/>
                  </w:pPr>
                  <w:r>
                    <w:rPr>
                      <w:sz w:val="21"/>
                    </w:rPr>
                    <w:t>95</w:t>
                  </w:r>
                </w:p>
              </w:tc>
            </w:tr>
          </w:tbl>
        </w:tc>
      </w:tr>
      <w:tr>
        <w:tc>
          <w:tcPr>
            <w:tcW w:type="dxa" w:w="2076"/>
          </w:tcPr>
          <w:p/>
        </w:tc>
        <w:tc>
          <w:tcPr>
            <w:tcW w:type="dxa" w:w="415"/>
          </w:tcPr>
          <w:p>
            <w:r>
              <w:rPr/>
              <w:t>2</w:t>
            </w:r>
          </w:p>
        </w:tc>
        <w:tc>
          <w:tcPr>
            <w:tcW w:type="dxa" w:w="5814"/>
          </w:tcPr>
          <w:p>
            <w:pPr>
              <w:jc w:val="left"/>
            </w:pPr>
            <w:r>
              <w:rPr>
                <w:color w:val="000000"/>
                <w:sz w:val="21"/>
              </w:rPr>
              <w:t>（</w:t>
            </w:r>
            <w:r>
              <w:rPr>
                <w:color w:val="000000"/>
                <w:sz w:val="21"/>
              </w:rPr>
              <w:t>1</w:t>
            </w:r>
            <w:r>
              <w:rPr>
                <w:color w:val="000000"/>
                <w:sz w:val="21"/>
              </w:rPr>
              <w:t>）上述预计采购数量最终以实际发生的采购数量为准。</w:t>
            </w:r>
          </w:p>
          <w:p>
            <w:pPr>
              <w:jc w:val="left"/>
            </w:pPr>
            <w:r>
              <w:rPr>
                <w:color w:val="000000"/>
                <w:sz w:val="21"/>
              </w:rPr>
              <w:t>▲</w:t>
            </w:r>
            <w:r>
              <w:rPr>
                <w:color w:val="000000"/>
                <w:sz w:val="21"/>
              </w:rPr>
              <w:t>（</w:t>
            </w:r>
            <w:r>
              <w:rPr>
                <w:color w:val="000000"/>
                <w:sz w:val="21"/>
              </w:rPr>
              <w:t>2</w:t>
            </w:r>
            <w:r>
              <w:rPr>
                <w:color w:val="000000"/>
                <w:sz w:val="21"/>
              </w:rPr>
              <w:t>）因评审场地限制，投标人须将上表所列的所有产品的设计图片作为投标文件的组成部分，未提供或未完整提供的将导致技术评分的扣除。</w:t>
            </w:r>
          </w:p>
          <w:p>
            <w:pPr>
              <w:jc w:val="left"/>
            </w:pPr>
            <w:r>
              <w:rPr>
                <w:color w:val="000000"/>
                <w:sz w:val="21"/>
              </w:rPr>
              <w:t>★</w:t>
            </w:r>
            <w:r>
              <w:rPr>
                <w:color w:val="000000"/>
                <w:sz w:val="21"/>
              </w:rPr>
              <w:t>（</w:t>
            </w:r>
            <w:r>
              <w:rPr>
                <w:color w:val="000000"/>
                <w:sz w:val="21"/>
              </w:rPr>
              <w:t>3</w:t>
            </w:r>
            <w:r>
              <w:rPr>
                <w:color w:val="000000"/>
                <w:sz w:val="21"/>
              </w:rPr>
              <w:t>）中标人须承诺除需提供上表所列型号的卫生棺外，还必须向采购人提供特殊订制的卫生棺（每个规格均有一定的比例），费用由双方协商确定（投标时提交承诺，格式自拟）。</w:t>
            </w:r>
          </w:p>
          <w:p>
            <w:pPr>
              <w:jc w:val="left"/>
            </w:pPr>
            <w:r>
              <w:rPr>
                <w:color w:val="000000"/>
                <w:sz w:val="21"/>
              </w:rPr>
              <w:t>★</w:t>
            </w:r>
            <w:r>
              <w:rPr>
                <w:color w:val="000000"/>
                <w:sz w:val="21"/>
              </w:rPr>
              <w:t>（</w:t>
            </w:r>
            <w:r>
              <w:rPr>
                <w:color w:val="000000"/>
                <w:sz w:val="21"/>
              </w:rPr>
              <w:t>4</w:t>
            </w:r>
            <w:r>
              <w:rPr>
                <w:color w:val="000000"/>
                <w:sz w:val="21"/>
              </w:rPr>
              <w:t>）以上产品外观尺寸</w:t>
            </w:r>
            <w:r>
              <w:rPr>
                <w:color w:val="000000"/>
                <w:sz w:val="21"/>
              </w:rPr>
              <w:t>≤</w:t>
            </w:r>
            <w:r>
              <w:rPr>
                <w:color w:val="000000"/>
                <w:sz w:val="21"/>
              </w:rPr>
              <w:t>长</w:t>
            </w:r>
            <w:r>
              <w:rPr>
                <w:color w:val="000000"/>
                <w:sz w:val="21"/>
              </w:rPr>
              <w:t>2000mm×</w:t>
            </w:r>
            <w:r>
              <w:rPr>
                <w:color w:val="000000"/>
                <w:sz w:val="21"/>
              </w:rPr>
              <w:t>宽</w:t>
            </w:r>
            <w:r>
              <w:rPr>
                <w:color w:val="000000"/>
                <w:sz w:val="21"/>
              </w:rPr>
              <w:t>580mm×</w:t>
            </w:r>
            <w:r>
              <w:rPr>
                <w:color w:val="000000"/>
                <w:sz w:val="21"/>
              </w:rPr>
              <w:t>高</w:t>
            </w:r>
            <w:r>
              <w:rPr>
                <w:color w:val="000000"/>
                <w:sz w:val="21"/>
              </w:rPr>
              <w:t>480mm,</w:t>
            </w:r>
            <w:r>
              <w:rPr>
                <w:color w:val="000000"/>
                <w:sz w:val="21"/>
              </w:rPr>
              <w:t>内径尺寸</w:t>
            </w:r>
            <w:r>
              <w:rPr>
                <w:color w:val="000000"/>
                <w:sz w:val="21"/>
              </w:rPr>
              <w:t>≥</w:t>
            </w:r>
            <w:r>
              <w:rPr>
                <w:color w:val="000000"/>
                <w:sz w:val="21"/>
              </w:rPr>
              <w:t>长</w:t>
            </w:r>
            <w:r>
              <w:rPr>
                <w:color w:val="000000"/>
                <w:sz w:val="21"/>
              </w:rPr>
              <w:t>1880mm×</w:t>
            </w:r>
            <w:r>
              <w:rPr>
                <w:color w:val="000000"/>
                <w:sz w:val="21"/>
              </w:rPr>
              <w:t>宽</w:t>
            </w:r>
            <w:r>
              <w:rPr>
                <w:color w:val="000000"/>
                <w:sz w:val="21"/>
              </w:rPr>
              <w:t>440mm×</w:t>
            </w:r>
            <w:r>
              <w:rPr>
                <w:color w:val="000000"/>
                <w:sz w:val="21"/>
              </w:rPr>
              <w:t>高</w:t>
            </w:r>
            <w:r>
              <w:rPr>
                <w:color w:val="000000"/>
                <w:sz w:val="21"/>
              </w:rPr>
              <w:t>330mm</w:t>
            </w:r>
            <w:r>
              <w:rPr>
                <w:color w:val="000000"/>
                <w:sz w:val="21"/>
              </w:rPr>
              <w:t>，且中标产品可根据采购方的炉使用情况作出调整，单价不做任何调整（投标时提交承诺，格式自拟）。</w:t>
            </w:r>
          </w:p>
          <w:p>
            <w:pPr>
              <w:jc w:val="left"/>
            </w:pPr>
            <w:r>
              <w:rPr>
                <w:color w:val="000000"/>
                <w:sz w:val="21"/>
              </w:rPr>
              <w:t>★</w:t>
            </w:r>
            <w:r>
              <w:rPr>
                <w:color w:val="000000"/>
                <w:sz w:val="21"/>
              </w:rPr>
              <w:t>（</w:t>
            </w:r>
            <w:r>
              <w:rPr>
                <w:color w:val="000000"/>
                <w:sz w:val="21"/>
              </w:rPr>
              <w:t>5</w:t>
            </w:r>
            <w:r>
              <w:rPr>
                <w:color w:val="000000"/>
                <w:sz w:val="21"/>
              </w:rPr>
              <w:t>）各投标人须在投标文件报价部分的投标分项报价表中注明上述所有产品的单价，此单价作为中标后的结算依据，未提供的视为无效投标（投标时提交承诺，格式自拟）。</w:t>
            </w:r>
          </w:p>
          <w:p>
            <w:pPr>
              <w:jc w:val="both"/>
            </w:pPr>
            <w:r>
              <w:rPr>
                <w:color w:val="000000"/>
                <w:sz w:val="21"/>
              </w:rPr>
              <w:t>★</w:t>
            </w:r>
            <w:r>
              <w:rPr>
                <w:color w:val="000000"/>
                <w:sz w:val="21"/>
              </w:rPr>
              <w:t>（</w:t>
            </w:r>
            <w:r>
              <w:rPr>
                <w:color w:val="000000"/>
                <w:sz w:val="21"/>
              </w:rPr>
              <w:t>6</w:t>
            </w:r>
            <w:r>
              <w:rPr>
                <w:color w:val="000000"/>
                <w:sz w:val="21"/>
              </w:rPr>
              <w:t>）供应商必须知悉并了解，本次项目采购预算约为</w:t>
            </w:r>
            <w:r>
              <w:rPr>
                <w:color w:val="000000"/>
                <w:sz w:val="21"/>
              </w:rPr>
              <w:t xml:space="preserve"> </w:t>
            </w:r>
            <w:r>
              <w:rPr>
                <w:color w:val="000000"/>
                <w:sz w:val="21"/>
              </w:rPr>
              <w:t>4,299,735.00</w:t>
            </w:r>
            <w:r>
              <w:rPr>
                <w:color w:val="000000"/>
                <w:sz w:val="21"/>
              </w:rPr>
              <w:t>元</w:t>
            </w:r>
            <w:r>
              <w:rPr>
                <w:color w:val="000000"/>
                <w:sz w:val="21"/>
              </w:rPr>
              <w:t>/</w:t>
            </w:r>
            <w:r>
              <w:rPr>
                <w:color w:val="000000"/>
                <w:sz w:val="21"/>
              </w:rPr>
              <w:t>年，具体采购数量以实际发生的数量为准，采购人不承诺在合同服务期限内授予中标单位实际采购品类，也不承诺在合同服务期限内的实际采购数量和采购金额</w:t>
            </w:r>
            <w:r>
              <w:rPr>
                <w:color w:val="000000"/>
                <w:sz w:val="21"/>
              </w:rPr>
              <w:t>，</w:t>
            </w:r>
            <w:r>
              <w:rPr>
                <w:color w:val="000000"/>
                <w:sz w:val="21"/>
              </w:rPr>
              <w:t>若合同金额达到采购预算金额，则项目提前到期</w:t>
            </w:r>
            <w:r>
              <w:rPr>
                <w:color w:val="000000"/>
                <w:sz w:val="21"/>
              </w:rPr>
              <w:t>（投标时提交承诺，格式自拟）。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中档类棺木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55"/>
              <w:gridCol w:w="2916"/>
              <w:gridCol w:w="742"/>
              <w:gridCol w:w="586"/>
              <w:gridCol w:w="599"/>
            </w:tblGrid>
            <w:tr>
              <w:tc>
                <w:tcPr>
                  <w:tcW w:type="dxa" w:w="755"/>
                  <w:tcBorders>
                    <w:top w:val="single" w:color="000000" w:sz="4"/>
                    <w:left w:val="single" w:color="000000" w:sz="4"/>
                    <w:bottom w:val="single" w:color="000000" w:sz="4"/>
                    <w:right w:val="single" w:color="000000" w:sz="4"/>
                  </w:tcBorders>
                  <w:vAlign w:val="top"/>
                </w:tcPr>
                <w:p>
                  <w:pPr>
                    <w:jc w:val="both"/>
                  </w:pPr>
                  <w:r>
                    <w:rPr>
                      <w:sz w:val="22"/>
                    </w:rPr>
                    <w:t>货物名称</w:t>
                  </w:r>
                </w:p>
              </w:tc>
              <w:tc>
                <w:tcPr>
                  <w:tcW w:type="dxa" w:w="2916"/>
                  <w:tcBorders>
                    <w:top w:val="single" w:color="000000" w:sz="4"/>
                    <w:left w:val="none" w:color="000000" w:sz="4"/>
                    <w:bottom w:val="single" w:color="000000" w:sz="4"/>
                    <w:right w:val="single" w:color="000000" w:sz="4"/>
                  </w:tcBorders>
                  <w:vAlign w:val="top"/>
                </w:tcPr>
                <w:p>
                  <w:pPr>
                    <w:jc w:val="both"/>
                  </w:pPr>
                  <w:r>
                    <w:rPr>
                      <w:sz w:val="22"/>
                    </w:rPr>
                    <w:t>材质及工艺要求</w:t>
                  </w:r>
                </w:p>
              </w:tc>
              <w:tc>
                <w:tcPr>
                  <w:tcW w:type="dxa" w:w="742"/>
                  <w:tcBorders>
                    <w:top w:val="single" w:color="000000" w:sz="4"/>
                    <w:left w:val="none" w:color="000000" w:sz="4"/>
                    <w:bottom w:val="single" w:color="000000" w:sz="4"/>
                    <w:right w:val="single" w:color="000000" w:sz="4"/>
                  </w:tcBorders>
                  <w:vAlign w:val="top"/>
                </w:tcPr>
                <w:p>
                  <w:pPr>
                    <w:jc w:val="both"/>
                  </w:pPr>
                  <w:r>
                    <w:rPr>
                      <w:sz w:val="22"/>
                    </w:rPr>
                    <w:t>承重（</w:t>
                  </w:r>
                  <w:r>
                    <w:rPr>
                      <w:sz w:val="22"/>
                    </w:rPr>
                    <w:t>KG</w:t>
                  </w:r>
                  <w:r>
                    <w:rPr>
                      <w:sz w:val="22"/>
                    </w:rPr>
                    <w:t>）</w:t>
                  </w:r>
                </w:p>
              </w:tc>
              <w:tc>
                <w:tcPr>
                  <w:tcW w:type="dxa" w:w="586"/>
                  <w:tcBorders>
                    <w:top w:val="single" w:color="000000" w:sz="4"/>
                    <w:left w:val="none" w:color="000000" w:sz="4"/>
                    <w:bottom w:val="single" w:color="000000" w:sz="4"/>
                    <w:right w:val="single" w:color="000000" w:sz="4"/>
                  </w:tcBorders>
                  <w:vAlign w:val="top"/>
                </w:tcPr>
                <w:p>
                  <w:pPr>
                    <w:jc w:val="both"/>
                  </w:pPr>
                  <w:r>
                    <w:rPr>
                      <w:sz w:val="22"/>
                    </w:rPr>
                    <w:t>最高单价限价（元）</w:t>
                  </w:r>
                </w:p>
              </w:tc>
              <w:tc>
                <w:tcPr>
                  <w:tcW w:type="dxa" w:w="599"/>
                  <w:tcBorders>
                    <w:top w:val="single" w:color="000000" w:sz="4"/>
                    <w:left w:val="none" w:color="000000" w:sz="4"/>
                    <w:bottom w:val="single" w:color="000000" w:sz="4"/>
                    <w:right w:val="single" w:color="000000" w:sz="4"/>
                  </w:tcBorders>
                  <w:vAlign w:val="top"/>
                </w:tcPr>
                <w:p>
                  <w:pPr>
                    <w:jc w:val="both"/>
                  </w:pPr>
                  <w:r>
                    <w:rPr>
                      <w:sz w:val="22"/>
                    </w:rPr>
                    <w:t>预计采购数量（个）</w:t>
                  </w:r>
                </w:p>
              </w:tc>
            </w:tr>
            <w:tr>
              <w:tc>
                <w:tcPr>
                  <w:tcW w:type="dxa" w:w="755"/>
                  <w:tcBorders>
                    <w:top w:val="none" w:color="000000" w:sz="4"/>
                    <w:left w:val="single" w:color="000000" w:sz="4"/>
                    <w:bottom w:val="single" w:color="000000" w:sz="4"/>
                    <w:right w:val="single" w:color="000000" w:sz="4"/>
                  </w:tcBorders>
                  <w:vAlign w:val="top"/>
                </w:tcPr>
                <w:p>
                  <w:pPr>
                    <w:jc w:val="both"/>
                  </w:pPr>
                  <w:r>
                    <w:rPr>
                      <w:sz w:val="22"/>
                    </w:rPr>
                    <w:t>中档类棺木</w:t>
                  </w:r>
                </w:p>
              </w:tc>
              <w:tc>
                <w:tcPr>
                  <w:tcW w:type="dxa" w:w="2916"/>
                  <w:tcBorders>
                    <w:top w:val="none" w:color="000000" w:sz="4"/>
                    <w:left w:val="none" w:color="000000" w:sz="4"/>
                    <w:bottom w:val="single" w:color="000000" w:sz="4"/>
                    <w:right w:val="single" w:color="000000" w:sz="4"/>
                  </w:tcBorders>
                  <w:vAlign w:val="top"/>
                </w:tcPr>
                <w:p>
                  <w:pPr>
                    <w:ind w:firstLine="420"/>
                    <w:jc w:val="both"/>
                  </w:pPr>
                  <w:r>
                    <w:rPr>
                      <w:sz w:val="22"/>
                    </w:rPr>
                    <w:t>1</w:t>
                  </w:r>
                  <w:r>
                    <w:rPr>
                      <w:sz w:val="22"/>
                    </w:rPr>
                    <w:t>、主材：木纹纸、纸板、中纤板、木方；</w:t>
                  </w:r>
                </w:p>
                <w:p>
                  <w:pPr>
                    <w:ind w:firstLine="420"/>
                    <w:jc w:val="both"/>
                  </w:pPr>
                  <w:r>
                    <w:rPr>
                      <w:sz w:val="22"/>
                    </w:rPr>
                    <w:t>2</w:t>
                  </w:r>
                  <w:r>
                    <w:rPr>
                      <w:sz w:val="22"/>
                    </w:rPr>
                    <w:t>、辅材：外部木纹纸、高档环保喷漆，内饰布、防水涂料、环保胶水，外观造型、花纹、图案及内饰要求外型美观，工艺精良，内饰精美。</w:t>
                  </w:r>
                </w:p>
                <w:p>
                  <w:pPr>
                    <w:ind w:firstLine="420"/>
                    <w:jc w:val="both"/>
                  </w:pPr>
                  <w:r>
                    <w:rPr>
                      <w:sz w:val="22"/>
                    </w:rPr>
                    <w:t>3</w:t>
                  </w:r>
                  <w:r>
                    <w:rPr>
                      <w:sz w:val="22"/>
                    </w:rPr>
                    <w:t>、功能：装殓火化、环保、卫生、防止细菌传播；</w:t>
                  </w:r>
                </w:p>
                <w:p>
                  <w:pPr>
                    <w:ind w:firstLine="420"/>
                    <w:jc w:val="both"/>
                  </w:pPr>
                  <w:r>
                    <w:rPr>
                      <w:sz w:val="22"/>
                    </w:rPr>
                    <w:t>4</w:t>
                  </w:r>
                  <w:r>
                    <w:rPr>
                      <w:sz w:val="22"/>
                    </w:rPr>
                    <w:t>、要求：防水、防臭、火化无杂质、无污染、重量轻、承载力强；</w:t>
                  </w:r>
                </w:p>
                <w:p>
                  <w:pPr>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）（须提供相关证明材料复印件加盖供应商单位公章）。</w:t>
                  </w:r>
                </w:p>
              </w:tc>
              <w:tc>
                <w:tcPr>
                  <w:tcW w:type="dxa" w:w="742"/>
                  <w:tcBorders>
                    <w:top w:val="none" w:color="000000" w:sz="4"/>
                    <w:left w:val="none" w:color="000000" w:sz="4"/>
                    <w:bottom w:val="single" w:color="000000" w:sz="4"/>
                    <w:right w:val="single" w:color="000000" w:sz="4"/>
                  </w:tcBorders>
                  <w:vAlign w:val="top"/>
                </w:tcPr>
                <w:p>
                  <w:pPr>
                    <w:jc w:val="both"/>
                  </w:pPr>
                  <w:r>
                    <w:rPr>
                      <w:sz w:val="22"/>
                    </w:rPr>
                    <w:t>≥100KG</w:t>
                  </w:r>
                </w:p>
              </w:tc>
              <w:tc>
                <w:tcPr>
                  <w:tcW w:type="dxa" w:w="586"/>
                  <w:tcBorders>
                    <w:top w:val="none" w:color="000000" w:sz="4"/>
                    <w:left w:val="none" w:color="000000" w:sz="4"/>
                    <w:bottom w:val="single" w:color="000000" w:sz="4"/>
                    <w:right w:val="single" w:color="000000" w:sz="4"/>
                  </w:tcBorders>
                  <w:vAlign w:val="top"/>
                </w:tcPr>
                <w:p>
                  <w:pPr>
                    <w:jc w:val="both"/>
                  </w:pPr>
                  <w:r>
                    <w:rPr>
                      <w:sz w:val="22"/>
                    </w:rPr>
                    <w:t>1078</w:t>
                  </w:r>
                </w:p>
              </w:tc>
              <w:tc>
                <w:tcPr>
                  <w:tcW w:type="dxa" w:w="599"/>
                  <w:tcBorders>
                    <w:top w:val="none" w:color="000000" w:sz="4"/>
                    <w:left w:val="none" w:color="000000" w:sz="4"/>
                    <w:bottom w:val="single" w:color="000000" w:sz="4"/>
                    <w:right w:val="single" w:color="000000" w:sz="4"/>
                  </w:tcBorders>
                  <w:vAlign w:val="top"/>
                </w:tcPr>
                <w:p>
                  <w:pPr>
                    <w:jc w:val="both"/>
                  </w:pPr>
                  <w:r>
                    <w:rPr>
                      <w:sz w:val="22"/>
                    </w:rPr>
                    <w:t>485</w:t>
                  </w:r>
                </w:p>
              </w:tc>
            </w:tr>
          </w:tbl>
        </w:tc>
      </w:tr>
      <w:tr>
        <w:tc>
          <w:tcPr>
            <w:tcW w:type="dxa" w:w="2076"/>
          </w:tcPr>
          <w:p/>
        </w:tc>
        <w:tc>
          <w:tcPr>
            <w:tcW w:type="dxa" w:w="415"/>
          </w:tcPr>
          <w:p>
            <w:r>
              <w:rPr/>
              <w:t>2</w:t>
            </w:r>
          </w:p>
        </w:tc>
        <w:tc>
          <w:tcPr>
            <w:tcW w:type="dxa" w:w="5814"/>
          </w:tcPr>
          <w:p>
            <w:pPr>
              <w:jc w:val="left"/>
            </w:pPr>
            <w:r>
              <w:rPr>
                <w:color w:val="000000"/>
                <w:sz w:val="21"/>
              </w:rPr>
              <w:t>（</w:t>
            </w:r>
            <w:r>
              <w:rPr>
                <w:color w:val="000000"/>
                <w:sz w:val="21"/>
              </w:rPr>
              <w:t>1</w:t>
            </w:r>
            <w:r>
              <w:rPr>
                <w:color w:val="000000"/>
                <w:sz w:val="21"/>
              </w:rPr>
              <w:t>）上述预计采购数量最终以实际发生的采购数量为准。</w:t>
            </w:r>
          </w:p>
          <w:p>
            <w:pPr>
              <w:jc w:val="left"/>
            </w:pPr>
            <w:r>
              <w:rPr>
                <w:color w:val="000000"/>
                <w:sz w:val="21"/>
              </w:rPr>
              <w:t>▲</w:t>
            </w:r>
            <w:r>
              <w:rPr>
                <w:color w:val="000000"/>
                <w:sz w:val="21"/>
              </w:rPr>
              <w:t>（</w:t>
            </w:r>
            <w:r>
              <w:rPr>
                <w:color w:val="000000"/>
                <w:sz w:val="21"/>
              </w:rPr>
              <w:t>2</w:t>
            </w:r>
            <w:r>
              <w:rPr>
                <w:color w:val="000000"/>
                <w:sz w:val="21"/>
              </w:rPr>
              <w:t>）因评审场地限制，投标人须将上表所列的所有产品的设计图片作为投标文件的组成部分，未提供或未完整提供的将导致技术评分的扣除。</w:t>
            </w:r>
          </w:p>
          <w:p>
            <w:pPr>
              <w:jc w:val="left"/>
            </w:pPr>
            <w:r>
              <w:rPr>
                <w:color w:val="000000"/>
                <w:sz w:val="21"/>
              </w:rPr>
              <w:t>★</w:t>
            </w:r>
            <w:r>
              <w:rPr>
                <w:color w:val="000000"/>
                <w:sz w:val="21"/>
              </w:rPr>
              <w:t>（</w:t>
            </w:r>
            <w:r>
              <w:rPr>
                <w:color w:val="000000"/>
                <w:sz w:val="21"/>
              </w:rPr>
              <w:t>3</w:t>
            </w:r>
            <w:r>
              <w:rPr>
                <w:color w:val="000000"/>
                <w:sz w:val="21"/>
              </w:rPr>
              <w:t>）中标人须承诺除需提供上表所列型号的卫生棺外，还必须向采购人提供特殊订制的卫生棺（每个规格均有一定的比例），费用由双方协商确定（投标时提交承诺，格式自拟）。</w:t>
            </w:r>
          </w:p>
          <w:p>
            <w:pPr>
              <w:jc w:val="left"/>
            </w:pPr>
            <w:r>
              <w:rPr>
                <w:color w:val="000000"/>
                <w:sz w:val="21"/>
              </w:rPr>
              <w:t>★</w:t>
            </w:r>
            <w:r>
              <w:rPr>
                <w:color w:val="000000"/>
                <w:sz w:val="21"/>
              </w:rPr>
              <w:t>（</w:t>
            </w:r>
            <w:r>
              <w:rPr>
                <w:color w:val="000000"/>
                <w:sz w:val="21"/>
              </w:rPr>
              <w:t>4</w:t>
            </w:r>
            <w:r>
              <w:rPr>
                <w:color w:val="000000"/>
                <w:sz w:val="21"/>
              </w:rPr>
              <w:t>）以上产品外观尺寸</w:t>
            </w:r>
            <w:r>
              <w:rPr>
                <w:color w:val="000000"/>
                <w:sz w:val="21"/>
              </w:rPr>
              <w:t>≤</w:t>
            </w:r>
            <w:r>
              <w:rPr>
                <w:color w:val="000000"/>
                <w:sz w:val="21"/>
              </w:rPr>
              <w:t>长</w:t>
            </w:r>
            <w:r>
              <w:rPr>
                <w:color w:val="000000"/>
                <w:sz w:val="21"/>
              </w:rPr>
              <w:t>2000mm×</w:t>
            </w:r>
            <w:r>
              <w:rPr>
                <w:color w:val="000000"/>
                <w:sz w:val="21"/>
              </w:rPr>
              <w:t>宽</w:t>
            </w:r>
            <w:r>
              <w:rPr>
                <w:color w:val="000000"/>
                <w:sz w:val="21"/>
              </w:rPr>
              <w:t>580mm×</w:t>
            </w:r>
            <w:r>
              <w:rPr>
                <w:color w:val="000000"/>
                <w:sz w:val="21"/>
              </w:rPr>
              <w:t>高</w:t>
            </w:r>
            <w:r>
              <w:rPr>
                <w:color w:val="000000"/>
                <w:sz w:val="21"/>
              </w:rPr>
              <w:t>480mm,</w:t>
            </w:r>
            <w:r>
              <w:rPr>
                <w:color w:val="000000"/>
                <w:sz w:val="21"/>
              </w:rPr>
              <w:t>内径尺寸</w:t>
            </w:r>
            <w:r>
              <w:rPr>
                <w:color w:val="000000"/>
                <w:sz w:val="21"/>
              </w:rPr>
              <w:t>≥</w:t>
            </w:r>
            <w:r>
              <w:rPr>
                <w:color w:val="000000"/>
                <w:sz w:val="21"/>
              </w:rPr>
              <w:t>长</w:t>
            </w:r>
            <w:r>
              <w:rPr>
                <w:color w:val="000000"/>
                <w:sz w:val="21"/>
              </w:rPr>
              <w:t>1880mm×</w:t>
            </w:r>
            <w:r>
              <w:rPr>
                <w:color w:val="000000"/>
                <w:sz w:val="21"/>
              </w:rPr>
              <w:t>宽</w:t>
            </w:r>
            <w:r>
              <w:rPr>
                <w:color w:val="000000"/>
                <w:sz w:val="21"/>
              </w:rPr>
              <w:t>440mm×</w:t>
            </w:r>
            <w:r>
              <w:rPr>
                <w:color w:val="000000"/>
                <w:sz w:val="21"/>
              </w:rPr>
              <w:t>高</w:t>
            </w:r>
            <w:r>
              <w:rPr>
                <w:color w:val="000000"/>
                <w:sz w:val="21"/>
              </w:rPr>
              <w:t>330mm</w:t>
            </w:r>
            <w:r>
              <w:rPr>
                <w:color w:val="000000"/>
                <w:sz w:val="21"/>
              </w:rPr>
              <w:t>，且中标产品可根据采购方的炉使用情况作出调整，单价不做任何调整（投标时提交承诺，格式自拟）。</w:t>
            </w:r>
          </w:p>
          <w:p>
            <w:pPr>
              <w:jc w:val="left"/>
            </w:pPr>
            <w:r>
              <w:rPr>
                <w:color w:val="000000"/>
                <w:sz w:val="21"/>
              </w:rPr>
              <w:t>★</w:t>
            </w:r>
            <w:r>
              <w:rPr>
                <w:color w:val="000000"/>
                <w:sz w:val="21"/>
              </w:rPr>
              <w:t>（</w:t>
            </w:r>
            <w:r>
              <w:rPr>
                <w:color w:val="000000"/>
                <w:sz w:val="21"/>
              </w:rPr>
              <w:t>5</w:t>
            </w:r>
            <w:r>
              <w:rPr>
                <w:color w:val="000000"/>
                <w:sz w:val="21"/>
              </w:rPr>
              <w:t>）各投标人须在投标文件报价部分的投标分项报价表中注明上述所有产品的单价，此单价作为中标后的结算依据，未提供的视为无效投标（投标时提交承诺，格式自拟）。</w:t>
            </w:r>
          </w:p>
          <w:p>
            <w:pPr>
              <w:jc w:val="both"/>
            </w:pPr>
            <w:r>
              <w:rPr>
                <w:color w:val="000000"/>
                <w:sz w:val="21"/>
              </w:rPr>
              <w:t>★</w:t>
            </w:r>
            <w:r>
              <w:rPr>
                <w:color w:val="000000"/>
                <w:sz w:val="21"/>
              </w:rPr>
              <w:t>（</w:t>
            </w:r>
            <w:r>
              <w:rPr>
                <w:color w:val="000000"/>
                <w:sz w:val="21"/>
              </w:rPr>
              <w:t>6</w:t>
            </w:r>
            <w:r>
              <w:rPr>
                <w:color w:val="000000"/>
                <w:sz w:val="21"/>
              </w:rPr>
              <w:t>）供应商必须知悉并了解，本次项目采购预算约为</w:t>
            </w:r>
            <w:r>
              <w:rPr>
                <w:color w:val="000000"/>
                <w:sz w:val="21"/>
              </w:rPr>
              <w:t xml:space="preserve"> </w:t>
            </w:r>
            <w:r>
              <w:rPr>
                <w:color w:val="000000"/>
                <w:sz w:val="21"/>
              </w:rPr>
              <w:t>4,299,735.00</w:t>
            </w:r>
            <w:r>
              <w:rPr>
                <w:color w:val="000000"/>
                <w:sz w:val="21"/>
              </w:rPr>
              <w:t>元</w:t>
            </w:r>
            <w:r>
              <w:rPr>
                <w:color w:val="000000"/>
                <w:sz w:val="21"/>
              </w:rPr>
              <w:t>/</w:t>
            </w:r>
            <w:r>
              <w:rPr>
                <w:color w:val="000000"/>
                <w:sz w:val="21"/>
              </w:rPr>
              <w:t>年，具体采购数量以实际发生的数量为准，采购人不承诺在合同服务期限内授予中标单位实际采购品类，也不承诺在合同服务期限内的实际采购数量和采购金额</w:t>
            </w:r>
            <w:r>
              <w:rPr>
                <w:color w:val="000000"/>
                <w:sz w:val="21"/>
              </w:rPr>
              <w:t>，</w:t>
            </w:r>
            <w:r>
              <w:rPr>
                <w:color w:val="000000"/>
                <w:sz w:val="21"/>
              </w:rPr>
              <w:t>若合同金额达到采购预算金额，则项目提前到期</w:t>
            </w:r>
            <w:r>
              <w:rPr>
                <w:color w:val="000000"/>
                <w:sz w:val="21"/>
              </w:rPr>
              <w:t>（投标时提交承诺，格式自拟）。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低档类棺木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Ind w:type="dxa" w:w="135"/>
              <w:tblBorders>
                <w:top w:val="none" w:color="000000" w:sz="4"/>
                <w:left w:val="none" w:color="000000" w:sz="4"/>
                <w:bottom w:val="none" w:color="000000" w:sz="4"/>
                <w:right w:val="none" w:color="000000" w:sz="4"/>
                <w:insideH w:val="none"/>
                <w:insideV w:val="none"/>
              </w:tblBorders>
            </w:tblPr>
            <w:tblGrid>
              <w:gridCol w:w="690"/>
              <w:gridCol w:w="2100"/>
              <w:gridCol w:w="900"/>
              <w:gridCol w:w="870"/>
              <w:gridCol w:w="870"/>
            </w:tblGrid>
            <w:tr>
              <w:tc>
                <w:tcPr>
                  <w:tcW w:type="dxa" w:w="690"/>
                  <w:tcBorders>
                    <w:top w:val="single" w:color="000000" w:sz="4"/>
                    <w:left w:val="single" w:color="000000" w:sz="4"/>
                    <w:bottom w:val="single" w:color="000000" w:sz="4"/>
                    <w:right w:val="single" w:color="000000" w:sz="4"/>
                  </w:tcBorders>
                  <w:vAlign w:val="top"/>
                </w:tcPr>
                <w:p>
                  <w:pPr>
                    <w:jc w:val="both"/>
                  </w:pPr>
                  <w:r>
                    <w:rPr>
                      <w:sz w:val="22"/>
                    </w:rPr>
                    <w:t>货物名称</w:t>
                  </w:r>
                </w:p>
              </w:tc>
              <w:tc>
                <w:tcPr>
                  <w:tcW w:type="dxa" w:w="2100"/>
                  <w:tcBorders>
                    <w:top w:val="single" w:color="000000" w:sz="4"/>
                    <w:left w:val="none" w:color="000000" w:sz="4"/>
                    <w:bottom w:val="single" w:color="000000" w:sz="4"/>
                    <w:right w:val="single" w:color="000000" w:sz="4"/>
                  </w:tcBorders>
                  <w:vAlign w:val="top"/>
                </w:tcPr>
                <w:p>
                  <w:pPr>
                    <w:jc w:val="both"/>
                  </w:pPr>
                  <w:r>
                    <w:rPr>
                      <w:sz w:val="22"/>
                    </w:rPr>
                    <w:t>材质及工艺要求</w:t>
                  </w:r>
                </w:p>
              </w:tc>
              <w:tc>
                <w:tcPr>
                  <w:tcW w:type="dxa" w:w="900"/>
                  <w:tcBorders>
                    <w:top w:val="single" w:color="000000" w:sz="4"/>
                    <w:left w:val="none" w:color="000000" w:sz="4"/>
                    <w:bottom w:val="single" w:color="000000" w:sz="4"/>
                    <w:right w:val="single" w:color="000000" w:sz="4"/>
                  </w:tcBorders>
                  <w:vAlign w:val="top"/>
                </w:tcPr>
                <w:p>
                  <w:pPr>
                    <w:jc w:val="both"/>
                  </w:pPr>
                  <w:r>
                    <w:rPr>
                      <w:sz w:val="22"/>
                    </w:rPr>
                    <w:t>承重（</w:t>
                  </w:r>
                  <w:r>
                    <w:rPr>
                      <w:sz w:val="22"/>
                    </w:rPr>
                    <w:t>KG</w:t>
                  </w:r>
                  <w:r>
                    <w:rPr>
                      <w:sz w:val="22"/>
                    </w:rPr>
                    <w:t>）</w:t>
                  </w:r>
                </w:p>
              </w:tc>
              <w:tc>
                <w:tcPr>
                  <w:tcW w:type="dxa" w:w="870"/>
                  <w:tcBorders>
                    <w:top w:val="single" w:color="000000" w:sz="4"/>
                    <w:left w:val="none" w:color="000000" w:sz="4"/>
                    <w:bottom w:val="single" w:color="000000" w:sz="4"/>
                    <w:right w:val="single" w:color="000000" w:sz="4"/>
                  </w:tcBorders>
                  <w:vAlign w:val="top"/>
                </w:tcPr>
                <w:p>
                  <w:pPr>
                    <w:jc w:val="both"/>
                  </w:pPr>
                  <w:r>
                    <w:rPr>
                      <w:sz w:val="22"/>
                    </w:rPr>
                    <w:t>最高单价限价（元）</w:t>
                  </w:r>
                </w:p>
              </w:tc>
              <w:tc>
                <w:tcPr>
                  <w:tcW w:type="dxa" w:w="870"/>
                  <w:tcBorders>
                    <w:top w:val="single" w:color="000000" w:sz="4"/>
                    <w:left w:val="none" w:color="000000" w:sz="4"/>
                    <w:bottom w:val="single" w:color="000000" w:sz="4"/>
                    <w:right w:val="single" w:color="000000" w:sz="4"/>
                  </w:tcBorders>
                  <w:vAlign w:val="top"/>
                </w:tcPr>
                <w:p>
                  <w:pPr>
                    <w:jc w:val="both"/>
                  </w:pPr>
                  <w:r>
                    <w:rPr>
                      <w:sz w:val="22"/>
                    </w:rPr>
                    <w:t>预计采购数量（个）</w:t>
                  </w:r>
                </w:p>
              </w:tc>
            </w:tr>
            <w:tr>
              <w:tc>
                <w:tcPr>
                  <w:tcW w:type="dxa" w:w="690"/>
                  <w:tcBorders>
                    <w:top w:val="none" w:color="000000" w:sz="4"/>
                    <w:left w:val="single" w:color="000000" w:sz="4"/>
                    <w:bottom w:val="single" w:color="000000" w:sz="4"/>
                    <w:right w:val="single" w:color="000000" w:sz="4"/>
                  </w:tcBorders>
                  <w:vAlign w:val="top"/>
                </w:tcPr>
                <w:p>
                  <w:pPr>
                    <w:jc w:val="both"/>
                  </w:pPr>
                  <w:r>
                    <w:rPr>
                      <w:sz w:val="22"/>
                    </w:rPr>
                    <w:t>低档类棺木</w:t>
                  </w:r>
                </w:p>
              </w:tc>
              <w:tc>
                <w:tcPr>
                  <w:tcW w:type="dxa" w:w="2100"/>
                  <w:tcBorders>
                    <w:top w:val="none" w:color="000000" w:sz="4"/>
                    <w:left w:val="none" w:color="000000" w:sz="4"/>
                    <w:bottom w:val="single" w:color="000000" w:sz="4"/>
                    <w:right w:val="single" w:color="000000" w:sz="4"/>
                  </w:tcBorders>
                  <w:vAlign w:val="top"/>
                </w:tcPr>
                <w:p>
                  <w:pPr>
                    <w:ind w:firstLine="420"/>
                    <w:jc w:val="both"/>
                  </w:pPr>
                  <w:r>
                    <w:rPr>
                      <w:sz w:val="22"/>
                    </w:rPr>
                    <w:t>1</w:t>
                  </w:r>
                  <w:r>
                    <w:rPr>
                      <w:sz w:val="22"/>
                    </w:rPr>
                    <w:t>、主材：纸质蜂窝厚板；</w:t>
                  </w:r>
                </w:p>
                <w:p>
                  <w:pPr>
                    <w:ind w:firstLine="420"/>
                    <w:jc w:val="both"/>
                  </w:pPr>
                  <w:r>
                    <w:rPr>
                      <w:sz w:val="22"/>
                    </w:rPr>
                    <w:t>2</w:t>
                  </w:r>
                  <w:r>
                    <w:rPr>
                      <w:sz w:val="22"/>
                    </w:rPr>
                    <w:t>、辅材：木纹纸，内饰布、防水涂料、环保胶水，外观造型、花纹、图案及内饰要求美观、大方；</w:t>
                  </w:r>
                </w:p>
                <w:p>
                  <w:pPr>
                    <w:ind w:firstLine="420"/>
                    <w:jc w:val="both"/>
                  </w:pPr>
                  <w:r>
                    <w:rPr>
                      <w:sz w:val="22"/>
                    </w:rPr>
                    <w:t>3</w:t>
                  </w:r>
                  <w:r>
                    <w:rPr>
                      <w:sz w:val="22"/>
                    </w:rPr>
                    <w:t>、功能：装殓火化、环保、卫生、防止细菌传播；</w:t>
                  </w:r>
                </w:p>
                <w:p>
                  <w:pPr>
                    <w:ind w:firstLine="420"/>
                    <w:jc w:val="both"/>
                  </w:pPr>
                  <w:r>
                    <w:rPr>
                      <w:sz w:val="22"/>
                    </w:rPr>
                    <w:t>4</w:t>
                  </w:r>
                  <w:r>
                    <w:rPr>
                      <w:sz w:val="22"/>
                    </w:rPr>
                    <w:t>、要求：防水、防臭、火化无杂质、无污染、重量轻、承载力强；</w:t>
                  </w:r>
                </w:p>
                <w:p>
                  <w:pPr>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）（须提供相关证明材料复印件加盖供应商单位公章）。</w:t>
                  </w:r>
                </w:p>
              </w:tc>
              <w:tc>
                <w:tcPr>
                  <w:tcW w:type="dxa" w:w="900"/>
                  <w:tcBorders>
                    <w:top w:val="none" w:color="000000" w:sz="4"/>
                    <w:left w:val="none" w:color="000000" w:sz="4"/>
                    <w:bottom w:val="single" w:color="000000" w:sz="4"/>
                    <w:right w:val="single" w:color="000000" w:sz="4"/>
                  </w:tcBorders>
                  <w:vAlign w:val="top"/>
                </w:tcPr>
                <w:p>
                  <w:pPr>
                    <w:jc w:val="both"/>
                  </w:pPr>
                  <w:r>
                    <w:rPr>
                      <w:sz w:val="22"/>
                    </w:rPr>
                    <w:t>≥100KG</w:t>
                  </w:r>
                </w:p>
              </w:tc>
              <w:tc>
                <w:tcPr>
                  <w:tcW w:type="dxa" w:w="870"/>
                  <w:tcBorders>
                    <w:top w:val="none" w:color="000000" w:sz="4"/>
                    <w:left w:val="none" w:color="000000" w:sz="4"/>
                    <w:bottom w:val="single" w:color="000000" w:sz="4"/>
                    <w:right w:val="single" w:color="000000" w:sz="4"/>
                  </w:tcBorders>
                  <w:vAlign w:val="top"/>
                </w:tcPr>
                <w:p>
                  <w:pPr>
                    <w:jc w:val="both"/>
                  </w:pPr>
                  <w:r>
                    <w:rPr>
                      <w:sz w:val="22"/>
                    </w:rPr>
                    <w:t>660</w:t>
                  </w:r>
                </w:p>
              </w:tc>
              <w:tc>
                <w:tcPr>
                  <w:tcW w:type="dxa" w:w="870"/>
                  <w:tcBorders>
                    <w:top w:val="none" w:color="000000" w:sz="4"/>
                    <w:left w:val="none" w:color="000000" w:sz="4"/>
                    <w:bottom w:val="single" w:color="000000" w:sz="4"/>
                    <w:right w:val="single" w:color="000000" w:sz="4"/>
                  </w:tcBorders>
                  <w:vAlign w:val="top"/>
                </w:tcPr>
                <w:p>
                  <w:pPr>
                    <w:jc w:val="both"/>
                  </w:pPr>
                  <w:r>
                    <w:rPr>
                      <w:sz w:val="22"/>
                    </w:rPr>
                    <w:t>5500</w:t>
                  </w:r>
                </w:p>
              </w:tc>
            </w:tr>
          </w:tbl>
        </w:tc>
      </w:tr>
      <w:tr>
        <w:tc>
          <w:tcPr>
            <w:tcW w:type="dxa" w:w="2076"/>
          </w:tcPr>
          <w:p/>
        </w:tc>
        <w:tc>
          <w:tcPr>
            <w:tcW w:type="dxa" w:w="415"/>
          </w:tcPr>
          <w:p>
            <w:r>
              <w:rPr/>
              <w:t>2</w:t>
            </w:r>
          </w:p>
        </w:tc>
        <w:tc>
          <w:tcPr>
            <w:tcW w:type="dxa" w:w="5814"/>
          </w:tcPr>
          <w:p>
            <w:pPr>
              <w:jc w:val="left"/>
            </w:pPr>
            <w:r>
              <w:rPr>
                <w:color w:val="000000"/>
                <w:sz w:val="21"/>
              </w:rPr>
              <w:t>（</w:t>
            </w:r>
            <w:r>
              <w:rPr>
                <w:color w:val="000000"/>
                <w:sz w:val="21"/>
              </w:rPr>
              <w:t>1</w:t>
            </w:r>
            <w:r>
              <w:rPr>
                <w:color w:val="000000"/>
                <w:sz w:val="21"/>
              </w:rPr>
              <w:t>）上述预计采购数量最终以实际发生的采购数量为准。</w:t>
            </w:r>
          </w:p>
          <w:p>
            <w:pPr>
              <w:jc w:val="left"/>
            </w:pPr>
            <w:r>
              <w:rPr>
                <w:color w:val="000000"/>
                <w:sz w:val="21"/>
              </w:rPr>
              <w:t>▲</w:t>
            </w:r>
            <w:r>
              <w:rPr>
                <w:color w:val="000000"/>
                <w:sz w:val="21"/>
              </w:rPr>
              <w:t>（</w:t>
            </w:r>
            <w:r>
              <w:rPr>
                <w:color w:val="000000"/>
                <w:sz w:val="21"/>
              </w:rPr>
              <w:t>2</w:t>
            </w:r>
            <w:r>
              <w:rPr>
                <w:color w:val="000000"/>
                <w:sz w:val="21"/>
              </w:rPr>
              <w:t>）因评审场地限制，投标人须将上表所列的所有产品的设计图片作为投标文件的组成部分，未提供或未完整提供的将导致技术评分的扣除。</w:t>
            </w:r>
          </w:p>
          <w:p>
            <w:pPr>
              <w:jc w:val="left"/>
            </w:pPr>
            <w:r>
              <w:rPr>
                <w:color w:val="000000"/>
                <w:sz w:val="21"/>
              </w:rPr>
              <w:t>★</w:t>
            </w:r>
            <w:r>
              <w:rPr>
                <w:color w:val="000000"/>
                <w:sz w:val="21"/>
              </w:rPr>
              <w:t>（</w:t>
            </w:r>
            <w:r>
              <w:rPr>
                <w:color w:val="000000"/>
                <w:sz w:val="21"/>
              </w:rPr>
              <w:t>3</w:t>
            </w:r>
            <w:r>
              <w:rPr>
                <w:color w:val="000000"/>
                <w:sz w:val="21"/>
              </w:rPr>
              <w:t>）中标人须承诺除需提供上表所列型号的卫生棺外，还必须向采购人提供特殊订制的卫生棺（每个规格均有一定的比例），费用由双方协商确定（投标时提交承诺，格式自拟）。</w:t>
            </w:r>
          </w:p>
          <w:p>
            <w:pPr>
              <w:jc w:val="left"/>
            </w:pPr>
            <w:r>
              <w:rPr>
                <w:color w:val="000000"/>
                <w:sz w:val="21"/>
              </w:rPr>
              <w:t>★</w:t>
            </w:r>
            <w:r>
              <w:rPr>
                <w:color w:val="000000"/>
                <w:sz w:val="21"/>
              </w:rPr>
              <w:t>（</w:t>
            </w:r>
            <w:r>
              <w:rPr>
                <w:color w:val="000000"/>
                <w:sz w:val="21"/>
              </w:rPr>
              <w:t>4</w:t>
            </w:r>
            <w:r>
              <w:rPr>
                <w:color w:val="000000"/>
                <w:sz w:val="21"/>
              </w:rPr>
              <w:t>）以上产品外观尺寸</w:t>
            </w:r>
            <w:r>
              <w:rPr>
                <w:color w:val="000000"/>
                <w:sz w:val="21"/>
              </w:rPr>
              <w:t>≤</w:t>
            </w:r>
            <w:r>
              <w:rPr>
                <w:color w:val="000000"/>
                <w:sz w:val="21"/>
              </w:rPr>
              <w:t>长</w:t>
            </w:r>
            <w:r>
              <w:rPr>
                <w:color w:val="000000"/>
                <w:sz w:val="21"/>
              </w:rPr>
              <w:t>2000mm×</w:t>
            </w:r>
            <w:r>
              <w:rPr>
                <w:color w:val="000000"/>
                <w:sz w:val="21"/>
              </w:rPr>
              <w:t>宽</w:t>
            </w:r>
            <w:r>
              <w:rPr>
                <w:color w:val="000000"/>
                <w:sz w:val="21"/>
              </w:rPr>
              <w:t>580mm×</w:t>
            </w:r>
            <w:r>
              <w:rPr>
                <w:color w:val="000000"/>
                <w:sz w:val="21"/>
              </w:rPr>
              <w:t>高</w:t>
            </w:r>
            <w:r>
              <w:rPr>
                <w:color w:val="000000"/>
                <w:sz w:val="21"/>
              </w:rPr>
              <w:t>480mm,</w:t>
            </w:r>
            <w:r>
              <w:rPr>
                <w:color w:val="000000"/>
                <w:sz w:val="21"/>
              </w:rPr>
              <w:t>内径尺寸</w:t>
            </w:r>
            <w:r>
              <w:rPr>
                <w:color w:val="000000"/>
                <w:sz w:val="21"/>
              </w:rPr>
              <w:t>≥</w:t>
            </w:r>
            <w:r>
              <w:rPr>
                <w:color w:val="000000"/>
                <w:sz w:val="21"/>
              </w:rPr>
              <w:t>长</w:t>
            </w:r>
            <w:r>
              <w:rPr>
                <w:color w:val="000000"/>
                <w:sz w:val="21"/>
              </w:rPr>
              <w:t>1880mm×</w:t>
            </w:r>
            <w:r>
              <w:rPr>
                <w:color w:val="000000"/>
                <w:sz w:val="21"/>
              </w:rPr>
              <w:t>宽</w:t>
            </w:r>
            <w:r>
              <w:rPr>
                <w:color w:val="000000"/>
                <w:sz w:val="21"/>
              </w:rPr>
              <w:t>440mm×</w:t>
            </w:r>
            <w:r>
              <w:rPr>
                <w:color w:val="000000"/>
                <w:sz w:val="21"/>
              </w:rPr>
              <w:t>高</w:t>
            </w:r>
            <w:r>
              <w:rPr>
                <w:color w:val="000000"/>
                <w:sz w:val="21"/>
              </w:rPr>
              <w:t>330mm</w:t>
            </w:r>
            <w:r>
              <w:rPr>
                <w:color w:val="000000"/>
                <w:sz w:val="21"/>
              </w:rPr>
              <w:t>，且中标产品可根据采购方的炉使用情况作出调整，单价不做任何调整（投标时提交承诺，格式自拟）。</w:t>
            </w:r>
          </w:p>
          <w:p>
            <w:pPr>
              <w:jc w:val="left"/>
            </w:pPr>
            <w:r>
              <w:rPr>
                <w:color w:val="000000"/>
                <w:sz w:val="21"/>
              </w:rPr>
              <w:t>★</w:t>
            </w:r>
            <w:r>
              <w:rPr>
                <w:color w:val="000000"/>
                <w:sz w:val="21"/>
              </w:rPr>
              <w:t>（</w:t>
            </w:r>
            <w:r>
              <w:rPr>
                <w:color w:val="000000"/>
                <w:sz w:val="21"/>
              </w:rPr>
              <w:t>5</w:t>
            </w:r>
            <w:r>
              <w:rPr>
                <w:color w:val="000000"/>
                <w:sz w:val="21"/>
              </w:rPr>
              <w:t>）各投标人须在投标文件报价部分的投标分项报价表中注明上述所有产品的单价，此单价作为中标后的结算依据，未提供的视为无效投标（投标时提交承诺，格式自拟）。</w:t>
            </w:r>
          </w:p>
          <w:p>
            <w:pPr>
              <w:jc w:val="both"/>
            </w:pPr>
            <w:r>
              <w:rPr>
                <w:color w:val="000000"/>
                <w:sz w:val="21"/>
              </w:rPr>
              <w:t>★</w:t>
            </w:r>
            <w:r>
              <w:rPr>
                <w:color w:val="000000"/>
                <w:sz w:val="21"/>
              </w:rPr>
              <w:t>（</w:t>
            </w:r>
            <w:r>
              <w:rPr>
                <w:color w:val="000000"/>
                <w:sz w:val="21"/>
              </w:rPr>
              <w:t>6</w:t>
            </w:r>
            <w:r>
              <w:rPr>
                <w:color w:val="000000"/>
                <w:sz w:val="21"/>
              </w:rPr>
              <w:t>）供应商必须知悉并了解，本次项目采购预算约为</w:t>
            </w:r>
            <w:r>
              <w:rPr>
                <w:color w:val="000000"/>
                <w:sz w:val="21"/>
              </w:rPr>
              <w:t xml:space="preserve"> </w:t>
            </w:r>
            <w:r>
              <w:rPr>
                <w:color w:val="000000"/>
                <w:sz w:val="21"/>
              </w:rPr>
              <w:t>4,299,735.00</w:t>
            </w:r>
            <w:r>
              <w:rPr>
                <w:color w:val="000000"/>
                <w:sz w:val="21"/>
              </w:rPr>
              <w:t>元</w:t>
            </w:r>
            <w:r>
              <w:rPr>
                <w:color w:val="000000"/>
                <w:sz w:val="21"/>
              </w:rPr>
              <w:t>/</w:t>
            </w:r>
            <w:r>
              <w:rPr>
                <w:color w:val="000000"/>
                <w:sz w:val="21"/>
              </w:rPr>
              <w:t>年，具体采购数量以实际发生的数量为准，采购人不承诺在合同服务期限内授予中标单位实际采购品类，也不承诺在合同服务期限内的实际采购数量和采购金额</w:t>
            </w:r>
            <w:r>
              <w:rPr>
                <w:color w:val="000000"/>
                <w:sz w:val="21"/>
              </w:rPr>
              <w:t>，</w:t>
            </w:r>
            <w:r>
              <w:rPr>
                <w:color w:val="000000"/>
                <w:sz w:val="21"/>
              </w:rPr>
              <w:t>若合同金额达到采购预算金额，则项目提前到期</w:t>
            </w:r>
            <w:r>
              <w:rPr>
                <w:color w:val="000000"/>
                <w:sz w:val="21"/>
              </w:rPr>
              <w:t>（投标时提交承诺，格式自拟）。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惠民棺木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90"/>
              <w:gridCol w:w="2305"/>
              <w:gridCol w:w="803"/>
              <w:gridCol w:w="1041"/>
              <w:gridCol w:w="659"/>
            </w:tblGrid>
            <w:tr>
              <w:tc>
                <w:tcPr>
                  <w:tcW w:type="dxa" w:w="790"/>
                  <w:tcBorders>
                    <w:top w:val="single" w:color="000000" w:sz="4"/>
                    <w:left w:val="single" w:color="000000" w:sz="4"/>
                    <w:bottom w:val="single" w:color="000000" w:sz="4"/>
                    <w:right w:val="single" w:color="000000" w:sz="4"/>
                  </w:tcBorders>
                  <w:vAlign w:val="top"/>
                </w:tcPr>
                <w:p>
                  <w:pPr>
                    <w:jc w:val="both"/>
                  </w:pPr>
                  <w:r>
                    <w:rPr>
                      <w:sz w:val="22"/>
                    </w:rPr>
                    <w:t>货物名称</w:t>
                  </w:r>
                </w:p>
              </w:tc>
              <w:tc>
                <w:tcPr>
                  <w:tcW w:type="dxa" w:w="2305"/>
                  <w:tcBorders>
                    <w:top w:val="single" w:color="000000" w:sz="4"/>
                    <w:left w:val="none" w:color="000000" w:sz="4"/>
                    <w:bottom w:val="single" w:color="000000" w:sz="4"/>
                    <w:right w:val="single" w:color="000000" w:sz="4"/>
                  </w:tcBorders>
                  <w:vAlign w:val="top"/>
                </w:tcPr>
                <w:p>
                  <w:pPr>
                    <w:jc w:val="both"/>
                  </w:pPr>
                  <w:r>
                    <w:rPr>
                      <w:sz w:val="22"/>
                    </w:rPr>
                    <w:t>材质及工艺要求</w:t>
                  </w:r>
                </w:p>
              </w:tc>
              <w:tc>
                <w:tcPr>
                  <w:tcW w:type="dxa" w:w="803"/>
                  <w:tcBorders>
                    <w:top w:val="single" w:color="000000" w:sz="4"/>
                    <w:left w:val="none" w:color="000000" w:sz="4"/>
                    <w:bottom w:val="single" w:color="000000" w:sz="4"/>
                    <w:right w:val="single" w:color="000000" w:sz="4"/>
                  </w:tcBorders>
                  <w:vAlign w:val="top"/>
                </w:tcPr>
                <w:p>
                  <w:pPr>
                    <w:jc w:val="both"/>
                  </w:pPr>
                  <w:r>
                    <w:rPr>
                      <w:sz w:val="22"/>
                    </w:rPr>
                    <w:t>承重（</w:t>
                  </w:r>
                  <w:r>
                    <w:rPr>
                      <w:sz w:val="22"/>
                    </w:rPr>
                    <w:t>KG</w:t>
                  </w:r>
                  <w:r>
                    <w:rPr>
                      <w:sz w:val="22"/>
                    </w:rPr>
                    <w:t>）</w:t>
                  </w:r>
                </w:p>
              </w:tc>
              <w:tc>
                <w:tcPr>
                  <w:tcW w:type="dxa" w:w="1041"/>
                  <w:tcBorders>
                    <w:top w:val="single" w:color="000000" w:sz="4"/>
                    <w:left w:val="none" w:color="000000" w:sz="4"/>
                    <w:bottom w:val="single" w:color="000000" w:sz="4"/>
                    <w:right w:val="single" w:color="000000" w:sz="4"/>
                  </w:tcBorders>
                  <w:vAlign w:val="top"/>
                </w:tcPr>
                <w:p>
                  <w:pPr>
                    <w:jc w:val="both"/>
                  </w:pPr>
                  <w:r>
                    <w:rPr>
                      <w:sz w:val="22"/>
                    </w:rPr>
                    <w:t>最高单价限价（元）</w:t>
                  </w:r>
                </w:p>
              </w:tc>
              <w:tc>
                <w:tcPr>
                  <w:tcW w:type="dxa" w:w="659"/>
                  <w:tcBorders>
                    <w:top w:val="single" w:color="000000" w:sz="4"/>
                    <w:left w:val="none" w:color="000000" w:sz="4"/>
                    <w:bottom w:val="single" w:color="000000" w:sz="4"/>
                    <w:right w:val="single" w:color="000000" w:sz="4"/>
                  </w:tcBorders>
                  <w:vAlign w:val="top"/>
                </w:tcPr>
                <w:p>
                  <w:pPr>
                    <w:jc w:val="both"/>
                  </w:pPr>
                  <w:r>
                    <w:rPr>
                      <w:sz w:val="22"/>
                    </w:rPr>
                    <w:t>预计采购数量（个）</w:t>
                  </w:r>
                </w:p>
              </w:tc>
            </w:tr>
            <w:tr>
              <w:tc>
                <w:tcPr>
                  <w:tcW w:type="dxa" w:w="790"/>
                  <w:tcBorders>
                    <w:top w:val="none" w:color="000000" w:sz="4"/>
                    <w:left w:val="single" w:color="000000" w:sz="4"/>
                    <w:bottom w:val="single" w:color="000000" w:sz="4"/>
                    <w:right w:val="single" w:color="000000" w:sz="4"/>
                  </w:tcBorders>
                  <w:vAlign w:val="top"/>
                </w:tcPr>
                <w:p>
                  <w:pPr>
                    <w:jc w:val="both"/>
                  </w:pPr>
                  <w:r>
                    <w:rPr>
                      <w:sz w:val="22"/>
                    </w:rPr>
                    <w:t>惠民棺木</w:t>
                  </w:r>
                </w:p>
              </w:tc>
              <w:tc>
                <w:tcPr>
                  <w:tcW w:type="dxa" w:w="2305"/>
                  <w:tcBorders>
                    <w:top w:val="none" w:color="000000" w:sz="4"/>
                    <w:left w:val="none" w:color="000000" w:sz="4"/>
                    <w:bottom w:val="single" w:color="000000" w:sz="4"/>
                    <w:right w:val="single" w:color="000000" w:sz="4"/>
                  </w:tcBorders>
                  <w:vAlign w:val="top"/>
                </w:tcPr>
                <w:p>
                  <w:pPr>
                    <w:ind w:firstLine="420"/>
                    <w:jc w:val="both"/>
                  </w:pPr>
                  <w:r>
                    <w:rPr>
                      <w:sz w:val="22"/>
                    </w:rPr>
                    <w:t>1</w:t>
                  </w:r>
                  <w:r>
                    <w:rPr>
                      <w:sz w:val="22"/>
                    </w:rPr>
                    <w:t>、主材：纸质蜂窝厚板；</w:t>
                  </w:r>
                </w:p>
                <w:p>
                  <w:pPr>
                    <w:ind w:firstLine="420"/>
                    <w:jc w:val="both"/>
                  </w:pPr>
                  <w:r>
                    <w:rPr>
                      <w:sz w:val="22"/>
                    </w:rPr>
                    <w:t>2</w:t>
                  </w:r>
                  <w:r>
                    <w:rPr>
                      <w:sz w:val="22"/>
                    </w:rPr>
                    <w:t>、辅材：木纹纸，内饰布、防水涂料、环保胶水，外观造型及内饰要求美观、大方。</w:t>
                  </w:r>
                </w:p>
                <w:p>
                  <w:pPr>
                    <w:ind w:firstLine="420"/>
                    <w:jc w:val="both"/>
                  </w:pPr>
                  <w:r>
                    <w:rPr>
                      <w:sz w:val="22"/>
                    </w:rPr>
                    <w:t>3</w:t>
                  </w:r>
                  <w:r>
                    <w:rPr>
                      <w:sz w:val="22"/>
                    </w:rPr>
                    <w:t>、功能：装殓火化、环保、卫生、防止细菌传播；</w:t>
                  </w:r>
                </w:p>
                <w:p>
                  <w:pPr>
                    <w:ind w:firstLine="420"/>
                    <w:jc w:val="both"/>
                  </w:pPr>
                  <w:r>
                    <w:rPr>
                      <w:sz w:val="22"/>
                    </w:rPr>
                    <w:t>4</w:t>
                  </w:r>
                  <w:r>
                    <w:rPr>
                      <w:sz w:val="22"/>
                    </w:rPr>
                    <w:t>、要求：防水、防臭、火化无杂质、无污染、重量轻、承载力强；</w:t>
                  </w:r>
                </w:p>
                <w:p>
                  <w:pPr>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）（须提供相关证明材料复印件加盖供应商单位公章）。</w:t>
                  </w:r>
                </w:p>
              </w:tc>
              <w:tc>
                <w:tcPr>
                  <w:tcW w:type="dxa" w:w="803"/>
                  <w:tcBorders>
                    <w:top w:val="none" w:color="000000" w:sz="4"/>
                    <w:left w:val="none" w:color="000000" w:sz="4"/>
                    <w:bottom w:val="single" w:color="000000" w:sz="4"/>
                    <w:right w:val="single" w:color="000000" w:sz="4"/>
                  </w:tcBorders>
                  <w:vAlign w:val="top"/>
                </w:tcPr>
                <w:p>
                  <w:pPr>
                    <w:jc w:val="both"/>
                  </w:pPr>
                  <w:r>
                    <w:rPr>
                      <w:sz w:val="22"/>
                    </w:rPr>
                    <w:t>≥100KG</w:t>
                  </w:r>
                </w:p>
              </w:tc>
              <w:tc>
                <w:tcPr>
                  <w:tcW w:type="dxa" w:w="1041"/>
                  <w:tcBorders>
                    <w:top w:val="none" w:color="000000" w:sz="4"/>
                    <w:left w:val="none" w:color="000000" w:sz="4"/>
                    <w:bottom w:val="single" w:color="000000" w:sz="4"/>
                    <w:right w:val="single" w:color="000000" w:sz="4"/>
                  </w:tcBorders>
                  <w:vAlign w:val="top"/>
                </w:tcPr>
                <w:p>
                  <w:pPr>
                    <w:jc w:val="both"/>
                  </w:pPr>
                  <w:r>
                    <w:rPr>
                      <w:sz w:val="22"/>
                    </w:rPr>
                    <w:t>385</w:t>
                  </w:r>
                </w:p>
              </w:tc>
              <w:tc>
                <w:tcPr>
                  <w:tcW w:type="dxa" w:w="659"/>
                  <w:tcBorders>
                    <w:top w:val="none" w:color="000000" w:sz="4"/>
                    <w:left w:val="none" w:color="000000" w:sz="4"/>
                    <w:bottom w:val="single" w:color="000000" w:sz="4"/>
                    <w:right w:val="single" w:color="000000" w:sz="4"/>
                  </w:tcBorders>
                  <w:vAlign w:val="top"/>
                </w:tcPr>
                <w:p>
                  <w:pPr>
                    <w:jc w:val="both"/>
                  </w:pPr>
                  <w:r>
                    <w:rPr>
                      <w:sz w:val="22"/>
                    </w:rPr>
                    <w:t>7</w:t>
                  </w:r>
                </w:p>
              </w:tc>
            </w:tr>
          </w:tbl>
        </w:tc>
      </w:tr>
      <w:tr>
        <w:tc>
          <w:tcPr>
            <w:tcW w:type="dxa" w:w="2076"/>
          </w:tcPr>
          <w:p/>
        </w:tc>
        <w:tc>
          <w:tcPr>
            <w:tcW w:type="dxa" w:w="415"/>
          </w:tcPr>
          <w:p>
            <w:r>
              <w:rPr/>
              <w:t>2</w:t>
            </w:r>
          </w:p>
        </w:tc>
        <w:tc>
          <w:tcPr>
            <w:tcW w:type="dxa" w:w="5814"/>
          </w:tcPr>
          <w:p>
            <w:pPr>
              <w:jc w:val="left"/>
            </w:pPr>
            <w:r>
              <w:rPr>
                <w:color w:val="0000FF"/>
                <w:sz w:val="21"/>
              </w:rPr>
              <w:t>（</w:t>
            </w:r>
            <w:r>
              <w:rPr>
                <w:color w:val="0000FF"/>
                <w:sz w:val="21"/>
              </w:rPr>
              <w:t>1</w:t>
            </w:r>
            <w:r>
              <w:rPr>
                <w:color w:val="0000FF"/>
                <w:sz w:val="21"/>
              </w:rPr>
              <w:t>）上述预计采购数量最终以实际发生的采购数量为准。</w:t>
            </w:r>
          </w:p>
          <w:p>
            <w:pPr>
              <w:jc w:val="left"/>
            </w:pPr>
            <w:r>
              <w:rPr>
                <w:sz w:val="21"/>
              </w:rPr>
              <w:t>▲</w:t>
            </w:r>
            <w:r>
              <w:rPr>
                <w:sz w:val="21"/>
              </w:rPr>
              <w:t>（</w:t>
            </w:r>
            <w:r>
              <w:rPr>
                <w:sz w:val="21"/>
              </w:rPr>
              <w:t>2</w:t>
            </w:r>
            <w:r>
              <w:rPr>
                <w:sz w:val="21"/>
              </w:rPr>
              <w:t>）因评审场地限制，投标人须将上表所列的所有产品的设计图片作为投标文件的组成部分，未提供或未完整提供的将导致技术评分的扣除。</w:t>
            </w:r>
          </w:p>
          <w:p>
            <w:pPr>
              <w:jc w:val="left"/>
            </w:pPr>
            <w:r>
              <w:rPr>
                <w:sz w:val="21"/>
              </w:rPr>
              <w:t>★</w:t>
            </w:r>
            <w:r>
              <w:rPr>
                <w:sz w:val="21"/>
              </w:rPr>
              <w:t>（</w:t>
            </w:r>
            <w:r>
              <w:rPr>
                <w:sz w:val="21"/>
              </w:rPr>
              <w:t>3</w:t>
            </w:r>
            <w:r>
              <w:rPr>
                <w:sz w:val="21"/>
              </w:rPr>
              <w:t>）中标人须承诺除需提供上表所列型号的卫生棺外，还必须向采购人提供特殊订制的卫生棺（每个规格均有一定的比例），费用由双方协商确定（投标时提交承诺，格式自拟）。</w:t>
            </w:r>
          </w:p>
          <w:p>
            <w:pPr>
              <w:jc w:val="left"/>
            </w:pPr>
            <w:r>
              <w:rPr>
                <w:sz w:val="21"/>
              </w:rPr>
              <w:t>★</w:t>
            </w:r>
            <w:r>
              <w:rPr>
                <w:sz w:val="21"/>
              </w:rPr>
              <w:t>（</w:t>
            </w:r>
            <w:r>
              <w:rPr>
                <w:sz w:val="21"/>
              </w:rPr>
              <w:t>4</w:t>
            </w:r>
            <w:r>
              <w:rPr>
                <w:sz w:val="21"/>
              </w:rPr>
              <w:t>）以上产品外观尺寸</w:t>
            </w:r>
            <w:r>
              <w:rPr>
                <w:sz w:val="21"/>
              </w:rPr>
              <w:t>≤</w:t>
            </w:r>
            <w:r>
              <w:rPr>
                <w:sz w:val="21"/>
              </w:rPr>
              <w:t>长</w:t>
            </w:r>
            <w:r>
              <w:rPr>
                <w:sz w:val="21"/>
              </w:rPr>
              <w:t>2000mm×</w:t>
            </w:r>
            <w:r>
              <w:rPr>
                <w:sz w:val="21"/>
              </w:rPr>
              <w:t>宽</w:t>
            </w:r>
            <w:r>
              <w:rPr>
                <w:sz w:val="21"/>
              </w:rPr>
              <w:t>580mm×</w:t>
            </w:r>
            <w:r>
              <w:rPr>
                <w:sz w:val="21"/>
              </w:rPr>
              <w:t>高</w:t>
            </w:r>
            <w:r>
              <w:rPr>
                <w:sz w:val="21"/>
              </w:rPr>
              <w:t>480mm,</w:t>
            </w:r>
            <w:r>
              <w:rPr>
                <w:sz w:val="21"/>
              </w:rPr>
              <w:t>内径尺寸</w:t>
            </w:r>
            <w:r>
              <w:rPr>
                <w:sz w:val="21"/>
              </w:rPr>
              <w:t>≥</w:t>
            </w:r>
            <w:r>
              <w:rPr>
                <w:sz w:val="21"/>
              </w:rPr>
              <w:t>长</w:t>
            </w:r>
            <w:r>
              <w:rPr>
                <w:sz w:val="21"/>
              </w:rPr>
              <w:t>1880mm×</w:t>
            </w:r>
            <w:r>
              <w:rPr>
                <w:sz w:val="21"/>
              </w:rPr>
              <w:t>宽</w:t>
            </w:r>
            <w:r>
              <w:rPr>
                <w:sz w:val="21"/>
              </w:rPr>
              <w:t>440mm×</w:t>
            </w:r>
            <w:r>
              <w:rPr>
                <w:sz w:val="21"/>
              </w:rPr>
              <w:t>高</w:t>
            </w:r>
            <w:r>
              <w:rPr>
                <w:sz w:val="21"/>
              </w:rPr>
              <w:t>330mm</w:t>
            </w:r>
            <w:r>
              <w:rPr>
                <w:sz w:val="21"/>
              </w:rPr>
              <w:t>，且中标产品可根据采购方的炉使用情况作出调整，单价不做任何调整（投标时提交承诺，格式自拟）。</w:t>
            </w:r>
          </w:p>
          <w:p>
            <w:pPr>
              <w:jc w:val="left"/>
            </w:pPr>
            <w:r>
              <w:rPr>
                <w:sz w:val="21"/>
              </w:rPr>
              <w:t>★</w:t>
            </w:r>
            <w:r>
              <w:rPr>
                <w:sz w:val="21"/>
              </w:rPr>
              <w:t>（</w:t>
            </w:r>
            <w:r>
              <w:rPr>
                <w:sz w:val="21"/>
              </w:rPr>
              <w:t>5</w:t>
            </w:r>
            <w:r>
              <w:rPr>
                <w:sz w:val="21"/>
              </w:rPr>
              <w:t>）各投标人须在投标文件报价部分的投标分项报价表中注明上述所有产品的单价，此单价作为中标后的结算依据，未提供的视为无效投标（投标时提交承诺，格式自拟）。</w:t>
            </w:r>
          </w:p>
          <w:p>
            <w:pPr>
              <w:jc w:val="both"/>
            </w:pPr>
            <w:r>
              <w:rPr>
                <w:sz w:val="21"/>
              </w:rPr>
              <w:t>★</w:t>
            </w:r>
            <w:r>
              <w:rPr>
                <w:sz w:val="21"/>
              </w:rPr>
              <w:t>（</w:t>
            </w:r>
            <w:r>
              <w:rPr>
                <w:sz w:val="21"/>
              </w:rPr>
              <w:t>6</w:t>
            </w:r>
            <w:r>
              <w:rPr>
                <w:sz w:val="21"/>
              </w:rPr>
              <w:t>）供应商必须知悉并了解，本次项目采购预算约为</w:t>
            </w:r>
            <w:r>
              <w:rPr>
                <w:sz w:val="21"/>
              </w:rPr>
              <w:t xml:space="preserve"> </w:t>
            </w:r>
            <w:r>
              <w:rPr>
                <w:sz w:val="21"/>
              </w:rPr>
              <w:t>4,299,735.00</w:t>
            </w:r>
            <w:r>
              <w:rPr>
                <w:sz w:val="21"/>
              </w:rPr>
              <w:t>元</w:t>
            </w:r>
            <w:r>
              <w:rPr>
                <w:sz w:val="21"/>
              </w:rPr>
              <w:t>/</w:t>
            </w:r>
            <w:r>
              <w:rPr>
                <w:sz w:val="21"/>
              </w:rPr>
              <w:t>年，具体采购数量以实际发生的数量为准，采购人不承诺在合同服务期限内授予中标单位实际采购品类，也不承诺在合同服务期限内的实际采购数量和采购金额</w:t>
            </w:r>
            <w:r>
              <w:rPr>
                <w:sz w:val="21"/>
              </w:rPr>
              <w:t>，</w:t>
            </w:r>
            <w:r>
              <w:rPr>
                <w:color w:val="0000FF"/>
                <w:sz w:val="21"/>
              </w:rPr>
              <w:t>若合同金额达到采购预算金额，则项目提前到期</w:t>
            </w:r>
            <w:r>
              <w:rPr>
                <w:sz w:val="21"/>
              </w:rPr>
              <w:t>（投标时提交承诺，格式自拟）。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汕头市澄海区殡仪馆</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采购包1：单价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人民币肆万壹仟元整（¥41,000.00元）成交服务费支付方式：一次性以电汇、支票或现金等形式支付（收款人：广东恒胜建设监理有限公司；开户银行：建设银行澄海支行；银行账户：44001650101050418491），具体详见项目委托代理协议书。</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报价要求，投标单价不超过最高单价限价，否则按无效投标处理。</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汕头市澄海区卫生棺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采购包1（汕头市澄海区卫生棺采购项目）：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20%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采购包1（汕头市澄海区卫生棺采购项目）：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要求获得采购合同的供应商将40.0%分包给一家或多家中小企业或参与的供应商（联合体）提供的货物全部由符合政策要求的中小企业制造。</w:t>
            </w:r>
          </w:p>
        </w:tc>
      </w:tr>
    </w:tbl>
    <w:p/>
    <w:p>
      <w:pPr>
        <w:ind w:firstLine="480"/>
      </w:pPr>
      <w:r>
        <w:rPr/>
        <w:t>表二符合性审查表：</w:t>
      </w:r>
    </w:p>
    <w:p>
      <w:pPr>
        <w:ind w:firstLine="480"/>
      </w:pPr>
    </w:p>
    <w:p/>
    <w:p>
      <w:r>
        <w:rPr/>
        <w:t>采购包1（汕头市澄海区卫生棺采购项目）：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投标报价在本项目报价范围内（投标单价不超过预算单价，投标总价不超过预算总价）；</w:t>
            </w:r>
          </w:p>
        </w:tc>
      </w:tr>
      <w:tr>
        <w:tc>
          <w:tcPr>
            <w:tcW w:type="dxa" w:w="890"/>
          </w:tcPr>
          <w:p>
            <w:r>
              <w:rPr/>
              <w:t>2</w:t>
            </w:r>
          </w:p>
        </w:tc>
        <w:tc>
          <w:tcPr>
            <w:tcW w:type="dxa" w:w="3178"/>
          </w:tcPr>
          <w:p>
            <w:r>
              <w:rPr/>
              <w:t>符合性要求</w:t>
            </w:r>
          </w:p>
        </w:tc>
        <w:tc>
          <w:tcPr>
            <w:tcW w:type="dxa" w:w="4238"/>
          </w:tcPr>
          <w:p>
            <w:r>
              <w:rPr/>
              <w:t>招标文件明示盖公章处有加盖公章；</w:t>
            </w:r>
          </w:p>
        </w:tc>
      </w:tr>
      <w:tr>
        <w:tc>
          <w:tcPr>
            <w:tcW w:type="dxa" w:w="890"/>
          </w:tcPr>
          <w:p>
            <w:r>
              <w:rPr/>
              <w:t>3</w:t>
            </w:r>
          </w:p>
        </w:tc>
        <w:tc>
          <w:tcPr>
            <w:tcW w:type="dxa" w:w="3178"/>
          </w:tcPr>
          <w:p>
            <w:r>
              <w:rPr/>
              <w:t>符合性要求</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投标有效期满足招标文件要求；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采购包1(汕头市澄海区卫生棺采购项目):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技术响应情况 (15.0分)</w:t>
            </w:r>
          </w:p>
        </w:tc>
        <w:tc>
          <w:tcPr>
            <w:tcW w:type="dxa" w:w="5076"/>
          </w:tcPr>
          <w:p>
            <w:pPr>
              <w:jc w:val="left"/>
            </w:pPr>
            <w:r>
              <w:rPr/>
              <w:t>根据供应商对招标文件“采购需求”中技术（参数）的响应情况进行评议并打分：全部满足或优于招标文件要求的得15分，带“★”参数为不允许偏离，偏离一项视为无效投标；带“▲”参数每负偏离一项扣3分，非“▲”参数每负偏离一项扣1分，扣完为止。注：需按技术（参数）的内容一一作出响应，有要求提供相关证明材料的，证明材料复印件加盖供应商单位公章，否则按负偏离进行扣分。</w:t>
            </w:r>
          </w:p>
        </w:tc>
      </w:tr>
      <w:tr>
        <w:tc>
          <w:tcPr>
            <w:tcW w:type="dxa" w:w="922"/>
            <w:gridSpan w:val="2"/>
            <w:vMerge/>
          </w:tcPr>
          <w:p/>
        </w:tc>
        <w:tc>
          <w:tcPr>
            <w:tcW w:type="dxa" w:w="2307"/>
          </w:tcPr>
          <w:p>
            <w:pPr>
              <w:jc w:val="left"/>
            </w:pPr>
            <w:r>
              <w:rPr/>
              <w:t>质量保障 (10.0分)</w:t>
            </w:r>
          </w:p>
        </w:tc>
        <w:tc>
          <w:tcPr>
            <w:tcW w:type="dxa" w:w="5076"/>
          </w:tcPr>
          <w:p>
            <w:pPr>
              <w:jc w:val="left"/>
            </w:pPr>
            <w:r>
              <w:rPr/>
              <w:t>根据供应商为本项目产品制定的质量保障方案情况（包括生产工艺及生产设备情况）由评标委员会进行评分：（1）各设备配置满足完整生产流程环节、数量齐全、能最大限度满足采购需求的得10分；（2）各设备配置满足主要生产流程环节、数量较齐全、能较大限度满足釆购需求的得5分；（3）各设备配置满足基本生产流程环节、数量较齐全、能基本限度满足釆购需求的得3分；（4）差或未提供的本项不得分。 注：提供产品生产工艺流程及生产设备清单、照片等，与所投产品无关的设备不得分。</w:t>
            </w:r>
          </w:p>
        </w:tc>
      </w:tr>
      <w:tr>
        <w:tc>
          <w:tcPr>
            <w:tcW w:type="dxa" w:w="922"/>
            <w:gridSpan w:val="2"/>
            <w:vMerge/>
          </w:tcPr>
          <w:p/>
        </w:tc>
        <w:tc>
          <w:tcPr>
            <w:tcW w:type="dxa" w:w="2307"/>
          </w:tcPr>
          <w:p>
            <w:pPr>
              <w:jc w:val="left"/>
            </w:pPr>
            <w:r>
              <w:rPr/>
              <w:t>产品设计方案 (20.0分)</w:t>
            </w:r>
          </w:p>
        </w:tc>
        <w:tc>
          <w:tcPr>
            <w:tcW w:type="dxa" w:w="5076"/>
          </w:tcPr>
          <w:p>
            <w:pPr>
              <w:jc w:val="left"/>
            </w:pPr>
            <w:r>
              <w:rPr/>
              <w:t>1、根据供应商提供的所投产品的设计方案（包括设计图），对产品外观及内饰设计的美观性、实用性、符合性进行对比评价：（1）有提供设计图，并且设计图包含产品外观及内饰设计，设计要求能满足招标文件要求的得2分；（2）在①的基础上，提供的产品设计图完整，包含各部位尺寸标注、棺盖顶面、棺体底面、棺体唇边、棺沿等设计清晰、并且设计牢固、能够提高火化棺强度及承重能力、图纸清晰完整，得10分。 2、根据供应商制作的图片中投标成品关于产品外观、款式进行评价：产品外观款式（包括内饰、绸布）：外型美观，颜色、光感较好，内饰设计的美观、实用，能融合中国殡葬文化、项目所在地的人文习俗、宗教、民族特点等文化方面元素的，得10分；外型美观，颜色、光感一般，内饰设计的一般、实用性一般，基本能融合中国殡葬文化、项目所在地的人文习俗、宗教、民族特点等文化方面元素的得5分；外型不美观，颜色、光感较差，内饰设计差、实用性差，不能融合中国殡葬文化、项目所在地的人文习俗、宗教、民族特点等文化方面元素的的得1分；未提供设计图不得分。</w:t>
            </w:r>
          </w:p>
        </w:tc>
      </w:tr>
      <w:tr>
        <w:tc>
          <w:tcPr>
            <w:tcW w:type="dxa" w:w="922"/>
            <w:gridSpan w:val="2"/>
            <w:vMerge/>
          </w:tcPr>
          <w:p/>
        </w:tc>
        <w:tc>
          <w:tcPr>
            <w:tcW w:type="dxa" w:w="2307"/>
          </w:tcPr>
          <w:p>
            <w:pPr>
              <w:jc w:val="left"/>
            </w:pPr>
            <w:r>
              <w:rPr/>
              <w:t>供货及服务方案 (5.0分)</w:t>
            </w:r>
          </w:p>
        </w:tc>
        <w:tc>
          <w:tcPr>
            <w:tcW w:type="dxa" w:w="5076"/>
          </w:tcPr>
          <w:p>
            <w:pPr>
              <w:jc w:val="left"/>
            </w:pPr>
            <w:r>
              <w:rPr/>
              <w:t>供应商针对本次项目供货及服务方案思路清晰、合理（包括应急、特殊情况供货）及时，对产品生产，供货，技术服务的组织措施，人员安排分工合理、责任明确且切实可行。根据合理性与可行性进行评分，方案内容完整且完全满足项目需求的得5分；方案内容较完整，大部分可行的得3分；方案内容不够完整，内容简单或可行性一般的得1分。差的和未提供的则本项不得分。</w:t>
            </w:r>
          </w:p>
        </w:tc>
      </w:tr>
      <w:tr>
        <w:tc>
          <w:tcPr>
            <w:tcW w:type="dxa" w:w="922"/>
            <w:gridSpan w:val="2"/>
            <w:vMerge/>
          </w:tcPr>
          <w:p/>
        </w:tc>
        <w:tc>
          <w:tcPr>
            <w:tcW w:type="dxa" w:w="2307"/>
          </w:tcPr>
          <w:p>
            <w:pPr>
              <w:jc w:val="left"/>
            </w:pPr>
            <w:r>
              <w:rPr/>
              <w:t>售后服务计划  (5.0分)</w:t>
            </w:r>
          </w:p>
        </w:tc>
        <w:tc>
          <w:tcPr>
            <w:tcW w:type="dxa" w:w="5076"/>
          </w:tcPr>
          <w:p>
            <w:pPr>
              <w:jc w:val="left"/>
            </w:pPr>
            <w:r>
              <w:rPr/>
              <w:t>根据供应商提供的售后服务计划的情况，包括具体的售后服务内容、响应时间、响应方式、是否优于招标文件要求等方面，进行评议，售后服务计划方案完善可行、具有针对性，可操作性强的得5分；售后服务优于招标文件且计划合理、较有针对性，可操作性较强的得3分；售后服务优于招标文件且计划较合理的得1分；售后服务未优于招标文件标准或未提供的不得分。</w:t>
            </w:r>
          </w:p>
        </w:tc>
      </w:tr>
      <w:tr>
        <w:tc>
          <w:tcPr>
            <w:tcW w:type="dxa" w:w="922"/>
            <w:gridSpan w:val="2"/>
            <w:vMerge w:val="restart"/>
          </w:tcPr>
          <w:p>
            <w:pPr>
              <w:jc w:val="center"/>
            </w:pPr>
            <w:r>
              <w:rPr/>
              <w:t>商务部分</w:t>
            </w:r>
          </w:p>
        </w:tc>
        <w:tc>
          <w:tcPr>
            <w:tcW w:type="dxa" w:w="2307"/>
          </w:tcPr>
          <w:p>
            <w:pPr>
              <w:jc w:val="left"/>
            </w:pPr>
            <w:r>
              <w:rPr/>
              <w:t>同类业绩 (3.0分)</w:t>
            </w:r>
          </w:p>
        </w:tc>
        <w:tc>
          <w:tcPr>
            <w:tcW w:type="dxa" w:w="5076"/>
          </w:tcPr>
          <w:p>
            <w:pPr>
              <w:jc w:val="left"/>
            </w:pPr>
            <w:r>
              <w:rPr/>
              <w:t>对供应商以往销售同类业绩情况进行评价：供应商近三年来（自2020年至今，以合同签订时间为准），提供一份同类项目业绩的得1分，最高得3分；同一单位的多个业绩不叠加计分，须提供该业绩项目的合同文本及合同履行期间近半年内的发票复印件加盖供应商单位公章，合同原件备查，否则不得分。</w:t>
            </w:r>
          </w:p>
        </w:tc>
      </w:tr>
      <w:tr>
        <w:tc>
          <w:tcPr>
            <w:tcW w:type="dxa" w:w="922"/>
            <w:gridSpan w:val="2"/>
            <w:vMerge/>
          </w:tcPr>
          <w:p/>
        </w:tc>
        <w:tc>
          <w:tcPr>
            <w:tcW w:type="dxa" w:w="2307"/>
          </w:tcPr>
          <w:p>
            <w:pPr>
              <w:jc w:val="left"/>
            </w:pPr>
            <w:r>
              <w:rPr/>
              <w:t>拟投入本项目配送车辆 (8.0分)</w:t>
            </w:r>
          </w:p>
        </w:tc>
        <w:tc>
          <w:tcPr>
            <w:tcW w:type="dxa" w:w="5076"/>
          </w:tcPr>
          <w:p>
            <w:pPr>
              <w:jc w:val="left"/>
            </w:pPr>
            <w:r>
              <w:rPr/>
              <w:t>供应商拟投入一辆货车，得4分，本项最高得8分。  注：①自有车辆须提供以供应商名义登记购买的有效的车辆行驶证及发票复印件加盖供应商公章；②租赁车辆需提供车辆租赁合同、近一年内租赁服务费发票、车辆行驶证及车辆发票复印件加盖公章，并承诺租赁车辆用于本项目，租赁合同期限需大于本项目服务期限，租赁车辆需提供租赁合同、近一年内租赁服务费发票、车辆及发票原件经评委进行核查，否则不得分。</w:t>
            </w:r>
          </w:p>
        </w:tc>
      </w:tr>
      <w:tr>
        <w:tc>
          <w:tcPr>
            <w:tcW w:type="dxa" w:w="922"/>
            <w:gridSpan w:val="2"/>
            <w:vMerge/>
          </w:tcPr>
          <w:p/>
        </w:tc>
        <w:tc>
          <w:tcPr>
            <w:tcW w:type="dxa" w:w="2307"/>
          </w:tcPr>
          <w:p>
            <w:pPr>
              <w:jc w:val="left"/>
            </w:pPr>
            <w:r>
              <w:rPr/>
              <w:t>人员配备 (4.0分)</w:t>
            </w:r>
          </w:p>
        </w:tc>
        <w:tc>
          <w:tcPr>
            <w:tcW w:type="dxa" w:w="5076"/>
          </w:tcPr>
          <w:p>
            <w:pPr>
              <w:jc w:val="left"/>
            </w:pPr>
            <w:r>
              <w:rPr/>
              <w:t>供应商拟派配送服务人员具有C证或以上驾驶证每人得1分，最高得4分，需提供相关驾驶证复印件及该人员由供应商缴纳的至投标截止时间止前半年内的社保证明复印件加盖公章，否则不得分。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both"/>
      </w:pPr>
    </w:p>
    <w:p>
      <w:pPr>
        <w:jc w:val="center"/>
      </w:pPr>
      <w:r>
        <w:rPr>
          <w:b/>
          <w:sz w:val="21"/>
        </w:rPr>
        <w:t xml:space="preserve"> </w:t>
      </w:r>
    </w:p>
    <w:p>
      <w:pPr>
        <w:jc w:val="both"/>
      </w:pPr>
    </w:p>
    <w:p>
      <w:pPr>
        <w:jc w:val="center"/>
      </w:pPr>
      <w:r>
        <w:rPr>
          <w:b/>
          <w:sz w:val="21"/>
        </w:rPr>
        <w:t xml:space="preserve"> </w:t>
      </w:r>
    </w:p>
    <w:p>
      <w:pPr>
        <w:jc w:val="center"/>
      </w:pPr>
      <w:r>
        <w:rPr>
          <w:b/>
          <w:sz w:val="21"/>
        </w:rPr>
        <w:t xml:space="preserve"> </w:t>
      </w:r>
    </w:p>
    <w:p>
      <w:pPr>
        <w:jc w:val="center"/>
      </w:pPr>
      <w:r>
        <w:rPr>
          <w:b/>
          <w:sz w:val="21"/>
        </w:rPr>
        <w:t xml:space="preserve"> </w:t>
      </w:r>
    </w:p>
    <w:p>
      <w:pPr>
        <w:jc w:val="center"/>
      </w:pPr>
      <w:r>
        <w:rPr>
          <w:b/>
          <w:color w:val="000000"/>
          <w:sz w:val="48"/>
        </w:rPr>
        <w:t>广东省政府采购</w:t>
      </w:r>
    </w:p>
    <w:p>
      <w:pPr>
        <w:jc w:val="both"/>
      </w:pPr>
      <w:r>
        <w:rPr>
          <w:b/>
          <w:sz w:val="21"/>
        </w:rPr>
        <w:t xml:space="preserve"> </w:t>
      </w:r>
    </w:p>
    <w:p>
      <w:pPr>
        <w:jc w:val="center"/>
      </w:pPr>
      <w:r>
        <w:rPr>
          <w:b/>
          <w:color w:val="000000"/>
          <w:sz w:val="48"/>
        </w:rPr>
        <w:t>合　同　书</w:t>
      </w:r>
    </w:p>
    <w:p>
      <w:pPr>
        <w:jc w:val="center"/>
      </w:pPr>
    </w:p>
    <w:p>
      <w:pPr>
        <w:jc w:val="center"/>
      </w:pPr>
    </w:p>
    <w:p>
      <w:pPr>
        <w:jc w:val="center"/>
      </w:pPr>
    </w:p>
    <w:p>
      <w:pPr>
        <w:jc w:val="center"/>
      </w:pPr>
    </w:p>
    <w:p>
      <w:pPr>
        <w:jc w:val="center"/>
      </w:pPr>
    </w:p>
    <w:p>
      <w:pPr>
        <w:jc w:val="center"/>
      </w:pPr>
      <w:r>
        <w:rPr>
          <w:sz w:val="21"/>
        </w:rPr>
        <w:t xml:space="preserve"> </w:t>
      </w:r>
    </w:p>
    <w:p>
      <w:pPr>
        <w:jc w:val="both"/>
      </w:pPr>
      <w:r>
        <w:rPr>
          <w:color w:val="000000"/>
          <w:sz w:val="28"/>
        </w:rPr>
        <w:t>采购计划编号：</w:t>
      </w:r>
      <w:r>
        <w:rPr>
          <w:sz w:val="21"/>
          <w:u w:val="single"/>
        </w:rPr>
        <w:t xml:space="preserve">                          </w:t>
      </w:r>
    </w:p>
    <w:p>
      <w:pPr>
        <w:jc w:val="both"/>
      </w:pPr>
      <w:r>
        <w:rPr>
          <w:sz w:val="21"/>
        </w:rPr>
        <w:t xml:space="preserve"> </w:t>
      </w:r>
    </w:p>
    <w:p>
      <w:pPr>
        <w:jc w:val="both"/>
      </w:pPr>
      <w:r>
        <w:rPr>
          <w:color w:val="000000"/>
          <w:sz w:val="28"/>
        </w:rPr>
        <w:t>项目编号：</w:t>
      </w:r>
      <w:r>
        <w:rPr>
          <w:sz w:val="21"/>
          <w:u w:val="single"/>
        </w:rPr>
        <w:t xml:space="preserve">                               </w:t>
      </w:r>
    </w:p>
    <w:p>
      <w:pPr>
        <w:jc w:val="both"/>
      </w:pPr>
      <w:r>
        <w:rPr>
          <w:sz w:val="21"/>
        </w:rPr>
        <w:t xml:space="preserve"> </w:t>
      </w:r>
    </w:p>
    <w:p>
      <w:pPr>
        <w:jc w:val="both"/>
      </w:pPr>
      <w:r>
        <w:rPr>
          <w:color w:val="000000"/>
          <w:sz w:val="28"/>
        </w:rPr>
        <w:t>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both"/>
      </w:pPr>
    </w:p>
    <w:p/>
    <w:p>
      <w:r>
        <w:rPr/>
        <w:t xml:space="preserve"> </w:t>
      </w:r>
    </w:p>
    <w:p>
      <w:pPr>
        <w:jc w:val="both"/>
      </w:pPr>
      <w:r>
        <w:rPr>
          <w:b/>
          <w:color w:val="000000"/>
          <w:sz w:val="27"/>
        </w:rPr>
        <w:t>甲　　方：　　　　　</w:t>
      </w:r>
    </w:p>
    <w:p>
      <w:pPr>
        <w:jc w:val="both"/>
      </w:pPr>
      <w:r>
        <w:rPr>
          <w:color w:val="000000"/>
          <w:sz w:val="27"/>
        </w:rPr>
        <w:t>电　　话：　　传　　真：　　地　　址：</w:t>
      </w:r>
    </w:p>
    <w:p>
      <w:pPr>
        <w:jc w:val="both"/>
      </w:pPr>
      <w:r>
        <w:rPr>
          <w:b/>
          <w:color w:val="000000"/>
          <w:sz w:val="27"/>
        </w:rPr>
        <w:t>乙　　方：　　　　　</w:t>
      </w:r>
    </w:p>
    <w:p>
      <w:pPr>
        <w:jc w:val="both"/>
      </w:pPr>
      <w:r>
        <w:rPr>
          <w:color w:val="000000"/>
          <w:sz w:val="27"/>
        </w:rPr>
        <w:t>电　　话：　　传　　真：　　地　　址：</w:t>
      </w:r>
    </w:p>
    <w:p>
      <w:pPr>
        <w:jc w:val="both"/>
      </w:pPr>
      <w:r>
        <w:rPr>
          <w:sz w:val="21"/>
        </w:rPr>
        <w:t xml:space="preserve"> </w:t>
      </w:r>
    </w:p>
    <w:p>
      <w:pPr>
        <w:ind w:firstLine="404"/>
        <w:jc w:val="both"/>
      </w:pPr>
      <w:r>
        <w:rPr>
          <w:color w:val="000000"/>
          <w:sz w:val="27"/>
        </w:rPr>
        <w:t>根据</w:t>
      </w:r>
      <w:r>
        <w:rPr>
          <w:sz w:val="21"/>
          <w:u w:val="single"/>
        </w:rPr>
        <w:t xml:space="preserve">            </w:t>
      </w:r>
      <w:r>
        <w:rPr>
          <w:color w:val="000000"/>
          <w:sz w:val="27"/>
        </w:rPr>
        <w:t>项目的采购结果，按照《中华人民共和国政府采购法》、《中华人民共和国民法典</w:t>
      </w:r>
      <w:r>
        <w:rPr>
          <w:color w:val="000000"/>
          <w:sz w:val="27"/>
        </w:rPr>
        <w:t>(</w:t>
      </w:r>
      <w:r>
        <w:rPr>
          <w:color w:val="000000"/>
          <w:sz w:val="27"/>
        </w:rPr>
        <w:t>合同编</w:t>
      </w:r>
      <w:r>
        <w:rPr>
          <w:color w:val="000000"/>
          <w:sz w:val="27"/>
        </w:rPr>
        <w:t>)</w:t>
      </w:r>
      <w:r>
        <w:rPr>
          <w:color w:val="000000"/>
          <w:sz w:val="27"/>
        </w:rPr>
        <w:t>》的规定，经双方协商，本着平等互利和诚实信用的原则，一致同意签订本合同如下。</w:t>
      </w:r>
    </w:p>
    <w:p>
      <w:pPr>
        <w:jc w:val="both"/>
      </w:pPr>
      <w:r>
        <w:rPr>
          <w:b/>
          <w:color w:val="000000"/>
          <w:sz w:val="27"/>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25"/>
        <w:gridCol w:w="831"/>
        <w:gridCol w:w="2386"/>
        <w:gridCol w:w="695"/>
        <w:gridCol w:w="982"/>
        <w:gridCol w:w="1525"/>
        <w:gridCol w:w="1163"/>
      </w:tblGrid>
      <w:tr>
        <w:tc>
          <w:tcPr>
            <w:tcW w:type="dxa" w:w="725"/>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831"/>
            <w:tcBorders>
              <w:top w:val="single" w:color="000000" w:sz="4"/>
              <w:left w:val="none" w:color="000000" w:sz="4"/>
              <w:bottom w:val="single" w:color="000000" w:sz="4"/>
              <w:right w:val="single" w:color="000000" w:sz="4"/>
            </w:tcBorders>
            <w:vAlign w:val="top"/>
          </w:tcPr>
          <w:p>
            <w:pPr>
              <w:jc w:val="center"/>
            </w:pPr>
            <w:r>
              <w:rPr>
                <w:color w:val="000000"/>
                <w:sz w:val="24"/>
              </w:rPr>
              <w:t>名称</w:t>
            </w:r>
          </w:p>
        </w:tc>
        <w:tc>
          <w:tcPr>
            <w:tcW w:type="dxa" w:w="2386"/>
            <w:tcBorders>
              <w:top w:val="single" w:color="000000" w:sz="4"/>
              <w:left w:val="none" w:color="000000" w:sz="4"/>
              <w:bottom w:val="single" w:color="000000" w:sz="4"/>
              <w:right w:val="single" w:color="000000" w:sz="4"/>
            </w:tcBorders>
            <w:vAlign w:val="top"/>
          </w:tcPr>
          <w:p>
            <w:pPr>
              <w:jc w:val="center"/>
            </w:pPr>
            <w:r>
              <w:rPr>
                <w:color w:val="000000"/>
                <w:sz w:val="24"/>
              </w:rPr>
              <w:t>型号、规格</w:t>
            </w:r>
          </w:p>
        </w:tc>
        <w:tc>
          <w:tcPr>
            <w:tcW w:type="dxa" w:w="695"/>
            <w:tcBorders>
              <w:top w:val="single" w:color="000000" w:sz="4"/>
              <w:left w:val="none" w:color="000000" w:sz="4"/>
              <w:bottom w:val="single" w:color="000000" w:sz="4"/>
              <w:right w:val="single" w:color="000000" w:sz="4"/>
            </w:tcBorders>
            <w:vAlign w:val="top"/>
          </w:tcPr>
          <w:p>
            <w:pPr>
              <w:jc w:val="both"/>
            </w:pPr>
            <w:r>
              <w:rPr>
                <w:color w:val="000000"/>
                <w:sz w:val="24"/>
              </w:rPr>
              <w:t>产地</w:t>
            </w:r>
          </w:p>
        </w:tc>
        <w:tc>
          <w:tcPr>
            <w:tcW w:type="dxa" w:w="982"/>
            <w:tcBorders>
              <w:top w:val="single" w:color="000000" w:sz="4"/>
              <w:left w:val="none" w:color="000000" w:sz="4"/>
              <w:bottom w:val="single" w:color="000000" w:sz="4"/>
              <w:right w:val="single" w:color="000000" w:sz="4"/>
            </w:tcBorders>
            <w:vAlign w:val="top"/>
          </w:tcPr>
          <w:p>
            <w:pPr>
              <w:jc w:val="center"/>
            </w:pPr>
            <w:r>
              <w:rPr>
                <w:color w:val="000000"/>
                <w:sz w:val="24"/>
              </w:rPr>
              <w:t>单位</w:t>
            </w:r>
          </w:p>
        </w:tc>
        <w:tc>
          <w:tcPr>
            <w:tcW w:type="dxa" w:w="1525"/>
            <w:tcBorders>
              <w:top w:val="single" w:color="000000" w:sz="4"/>
              <w:left w:val="none" w:color="000000" w:sz="4"/>
              <w:bottom w:val="single" w:color="000000" w:sz="4"/>
              <w:right w:val="single" w:color="000000" w:sz="4"/>
            </w:tcBorders>
            <w:vAlign w:val="top"/>
          </w:tcPr>
          <w:p>
            <w:pPr>
              <w:jc w:val="center"/>
            </w:pPr>
            <w:r>
              <w:rPr>
                <w:color w:val="000000"/>
                <w:sz w:val="24"/>
              </w:rPr>
              <w:t>单价（元）</w:t>
            </w:r>
          </w:p>
        </w:tc>
        <w:tc>
          <w:tcPr>
            <w:tcW w:type="dxa" w:w="1163"/>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72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1"/>
            <w:tcBorders>
              <w:top w:val="none" w:color="000000" w:sz="4"/>
              <w:left w:val="none" w:color="000000" w:sz="4"/>
              <w:bottom w:val="single" w:color="000000" w:sz="4"/>
              <w:right w:val="single" w:color="000000" w:sz="4"/>
            </w:tcBorders>
            <w:vAlign w:val="top"/>
          </w:tcPr>
          <w:p>
            <w:pPr>
              <w:jc w:val="center"/>
            </w:pPr>
          </w:p>
        </w:tc>
        <w:tc>
          <w:tcPr>
            <w:tcW w:type="dxa" w:w="2386"/>
            <w:tcBorders>
              <w:top w:val="none" w:color="000000" w:sz="4"/>
              <w:left w:val="none" w:color="000000" w:sz="4"/>
              <w:bottom w:val="single" w:color="000000" w:sz="4"/>
              <w:right w:val="single" w:color="000000" w:sz="4"/>
            </w:tcBorders>
            <w:vAlign w:val="top"/>
          </w:tcPr>
          <w:p>
            <w:pPr>
              <w:jc w:val="center"/>
            </w:pPr>
          </w:p>
        </w:tc>
        <w:tc>
          <w:tcPr>
            <w:tcW w:type="dxa" w:w="695"/>
            <w:tcBorders>
              <w:top w:val="none" w:color="000000" w:sz="4"/>
              <w:left w:val="none" w:color="000000" w:sz="4"/>
              <w:bottom w:val="single" w:color="000000" w:sz="4"/>
              <w:right w:val="single" w:color="000000" w:sz="4"/>
            </w:tcBorders>
            <w:vAlign w:val="top"/>
          </w:tcPr>
          <w:p>
            <w:pPr>
              <w:jc w:val="center"/>
            </w:pPr>
          </w:p>
        </w:tc>
        <w:tc>
          <w:tcPr>
            <w:tcW w:type="dxa" w:w="982"/>
            <w:tcBorders>
              <w:top w:val="none" w:color="000000" w:sz="4"/>
              <w:left w:val="none" w:color="000000" w:sz="4"/>
              <w:bottom w:val="single" w:color="000000" w:sz="4"/>
              <w:right w:val="single" w:color="000000" w:sz="4"/>
            </w:tcBorders>
            <w:vAlign w:val="top"/>
          </w:tcPr>
          <w:p>
            <w:pPr>
              <w:jc w:val="center"/>
            </w:pPr>
          </w:p>
        </w:tc>
        <w:tc>
          <w:tcPr>
            <w:tcW w:type="dxa" w:w="1525"/>
            <w:tcBorders>
              <w:top w:val="none" w:color="000000" w:sz="4"/>
              <w:left w:val="none" w:color="000000" w:sz="4"/>
              <w:bottom w:val="single" w:color="000000" w:sz="4"/>
              <w:right w:val="single" w:color="000000" w:sz="4"/>
            </w:tcBorders>
            <w:vAlign w:val="top"/>
          </w:tcPr>
          <w:p>
            <w:pPr>
              <w:jc w:val="center"/>
            </w:pPr>
          </w:p>
        </w:tc>
        <w:tc>
          <w:tcPr>
            <w:tcW w:type="dxa" w:w="1163"/>
            <w:tcBorders>
              <w:top w:val="none" w:color="000000" w:sz="4"/>
              <w:left w:val="none" w:color="000000" w:sz="4"/>
              <w:bottom w:val="single" w:color="000000" w:sz="4"/>
              <w:right w:val="single" w:color="000000" w:sz="4"/>
            </w:tcBorders>
            <w:vAlign w:val="top"/>
          </w:tcPr>
          <w:p>
            <w:pPr>
              <w:jc w:val="center"/>
            </w:pPr>
          </w:p>
        </w:tc>
      </w:tr>
      <w:tr>
        <w:tc>
          <w:tcPr>
            <w:tcW w:type="dxa" w:w="72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31"/>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2386"/>
            <w:tcBorders>
              <w:top w:val="none" w:color="000000" w:sz="4"/>
              <w:left w:val="none" w:color="000000" w:sz="4"/>
              <w:bottom w:val="single" w:color="000000" w:sz="4"/>
              <w:right w:val="single" w:color="000000" w:sz="4"/>
            </w:tcBorders>
            <w:vAlign w:val="top"/>
          </w:tcPr>
          <w:p>
            <w:pPr>
              <w:jc w:val="center"/>
            </w:pPr>
          </w:p>
        </w:tc>
        <w:tc>
          <w:tcPr>
            <w:tcW w:type="dxa" w:w="69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982"/>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52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163"/>
            <w:tcBorders>
              <w:top w:val="none" w:color="000000" w:sz="4"/>
              <w:left w:val="none" w:color="000000" w:sz="4"/>
              <w:bottom w:val="single" w:color="000000" w:sz="4"/>
              <w:right w:val="single" w:color="000000" w:sz="4"/>
            </w:tcBorders>
            <w:vAlign w:val="top"/>
          </w:tcPr>
          <w:p>
            <w:pPr>
              <w:jc w:val="center"/>
            </w:pPr>
            <w:r>
              <w:rPr>
                <w:sz w:val="21"/>
              </w:rPr>
              <w:t xml:space="preserve"> </w:t>
            </w:r>
          </w:p>
        </w:tc>
      </w:tr>
      <w:tr>
        <w:tc>
          <w:tcPr>
            <w:tcW w:type="dxa" w:w="72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31"/>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2386"/>
            <w:tcBorders>
              <w:top w:val="none" w:color="000000" w:sz="4"/>
              <w:left w:val="none" w:color="000000" w:sz="4"/>
              <w:bottom w:val="single" w:color="000000" w:sz="4"/>
              <w:right w:val="single" w:color="000000" w:sz="4"/>
            </w:tcBorders>
            <w:vAlign w:val="top"/>
          </w:tcPr>
          <w:p>
            <w:pPr>
              <w:jc w:val="center"/>
            </w:pPr>
          </w:p>
        </w:tc>
        <w:tc>
          <w:tcPr>
            <w:tcW w:type="dxa" w:w="69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982"/>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52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163"/>
            <w:tcBorders>
              <w:top w:val="none" w:color="000000" w:sz="4"/>
              <w:left w:val="none" w:color="000000" w:sz="4"/>
              <w:bottom w:val="single" w:color="000000" w:sz="4"/>
              <w:right w:val="single" w:color="000000" w:sz="4"/>
            </w:tcBorders>
            <w:vAlign w:val="top"/>
          </w:tcPr>
          <w:p>
            <w:pPr>
              <w:jc w:val="center"/>
            </w:pPr>
            <w:r>
              <w:rPr>
                <w:sz w:val="21"/>
              </w:rPr>
              <w:t xml:space="preserve"> </w:t>
            </w:r>
          </w:p>
        </w:tc>
      </w:tr>
      <w:tr>
        <w:tc>
          <w:tcPr>
            <w:tcW w:type="dxa" w:w="72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31"/>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2386"/>
            <w:tcBorders>
              <w:top w:val="none" w:color="000000" w:sz="4"/>
              <w:left w:val="none" w:color="000000" w:sz="4"/>
              <w:bottom w:val="single" w:color="000000" w:sz="4"/>
              <w:right w:val="single" w:color="000000" w:sz="4"/>
            </w:tcBorders>
            <w:vAlign w:val="top"/>
          </w:tcPr>
          <w:p>
            <w:pPr>
              <w:jc w:val="center"/>
            </w:pPr>
          </w:p>
        </w:tc>
        <w:tc>
          <w:tcPr>
            <w:tcW w:type="dxa" w:w="69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982"/>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525"/>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163"/>
            <w:tcBorders>
              <w:top w:val="none" w:color="000000" w:sz="4"/>
              <w:left w:val="none" w:color="000000" w:sz="4"/>
              <w:bottom w:val="single" w:color="000000" w:sz="4"/>
              <w:right w:val="single" w:color="000000" w:sz="4"/>
            </w:tcBorders>
            <w:vAlign w:val="top"/>
          </w:tcPr>
          <w:p>
            <w:pPr>
              <w:jc w:val="center"/>
            </w:pPr>
            <w:r>
              <w:rPr>
                <w:sz w:val="21"/>
              </w:rPr>
              <w:t xml:space="preserve"> </w:t>
            </w:r>
          </w:p>
        </w:tc>
      </w:tr>
    </w:tbl>
    <w:p>
      <w:pPr>
        <w:ind w:firstLine="400"/>
        <w:jc w:val="both"/>
      </w:pPr>
      <w:r>
        <w:rPr>
          <w:color w:val="000000"/>
          <w:sz w:val="27"/>
        </w:rPr>
        <w:t>合同单价包括但不限于货物本身价格、运输、税金等一切费用。</w:t>
      </w:r>
    </w:p>
    <w:p>
      <w:pPr>
        <w:ind w:firstLine="400"/>
        <w:jc w:val="both"/>
      </w:pPr>
      <w:r>
        <w:rPr>
          <w:color w:val="000000"/>
          <w:sz w:val="27"/>
        </w:rPr>
        <w:t>注：货物名称内容必须与投标文件中货物名称内容一致。</w:t>
      </w:r>
    </w:p>
    <w:p>
      <w:pPr>
        <w:jc w:val="both"/>
      </w:pPr>
      <w:r>
        <w:rPr>
          <w:b/>
          <w:color w:val="000000"/>
          <w:sz w:val="27"/>
        </w:rPr>
        <w:t>二、合同金额</w:t>
      </w:r>
    </w:p>
    <w:p>
      <w:pPr>
        <w:jc w:val="both"/>
      </w:pPr>
      <w:r>
        <w:rPr>
          <w:color w:val="000000"/>
          <w:sz w:val="27"/>
        </w:rPr>
        <w:t>合同金额为（大写）：</w:t>
      </w:r>
      <w:r>
        <w:rPr>
          <w:color w:val="000000"/>
          <w:sz w:val="27"/>
        </w:rPr>
        <w:t>_________________</w:t>
      </w:r>
      <w:r>
        <w:rPr>
          <w:color w:val="000000"/>
          <w:sz w:val="27"/>
        </w:rPr>
        <w:t>元（￥</w:t>
      </w:r>
      <w:r>
        <w:rPr>
          <w:color w:val="000000"/>
          <w:sz w:val="27"/>
        </w:rPr>
        <w:t>_______________</w:t>
      </w:r>
      <w:r>
        <w:rPr>
          <w:color w:val="000000"/>
          <w:sz w:val="27"/>
        </w:rPr>
        <w:t>元）人民币。</w:t>
      </w:r>
    </w:p>
    <w:p>
      <w:r>
        <w:rPr>
          <w:color w:val="000000"/>
          <w:sz w:val="27"/>
        </w:rPr>
        <w:t>若采购货物超过</w:t>
      </w:r>
      <w:r>
        <w:rPr>
          <w:color w:val="000000"/>
          <w:sz w:val="27"/>
        </w:rPr>
        <w:t>采购预算</w:t>
      </w:r>
      <w:r>
        <w:rPr>
          <w:color w:val="000000"/>
          <w:sz w:val="27"/>
        </w:rPr>
        <w:t>金额，则甲方有权</w:t>
      </w:r>
      <w:r>
        <w:rPr>
          <w:color w:val="000000"/>
          <w:sz w:val="27"/>
        </w:rPr>
        <w:t>在合同期限内</w:t>
      </w:r>
      <w:r>
        <w:rPr>
          <w:color w:val="000000"/>
          <w:sz w:val="27"/>
        </w:rPr>
        <w:t>终止合同，重新进行采购</w:t>
      </w:r>
      <w:r>
        <w:rPr>
          <w:color w:val="000000"/>
          <w:sz w:val="27"/>
        </w:rPr>
        <w:t>；政府采购合同履行中，甲方需追加与合同标的相同的货物、工程或者服务的，在不改变合同其他条款的前提下，可以与乙方签订补充合同，但所补充合同的采购金额不得超过原采购金额的</w:t>
      </w:r>
      <w:r>
        <w:rPr>
          <w:color w:val="000000"/>
          <w:sz w:val="27"/>
        </w:rPr>
        <w:t>10%</w:t>
      </w:r>
      <w:r>
        <w:rPr>
          <w:color w:val="000000"/>
          <w:sz w:val="27"/>
        </w:rPr>
        <w:t>。</w:t>
      </w:r>
    </w:p>
    <w:p>
      <w:pPr>
        <w:jc w:val="both"/>
      </w:pPr>
      <w:r>
        <w:rPr>
          <w:b/>
          <w:color w:val="000000"/>
          <w:sz w:val="27"/>
        </w:rPr>
        <w:t>三、货物要求</w:t>
      </w:r>
    </w:p>
    <w:p>
      <w:pPr>
        <w:jc w:val="both"/>
      </w:pPr>
      <w:r>
        <w:rPr>
          <w:color w:val="000000"/>
          <w:sz w:val="27"/>
        </w:rPr>
        <w:t>货物为原制造商制造的全新产品，无污染，无侵权行为、表面无划损、无任何缺陷隐患，在中国境内可依常规安全合法使用。</w:t>
      </w:r>
    </w:p>
    <w:p>
      <w:pPr>
        <w:jc w:val="both"/>
      </w:pPr>
      <w:r>
        <w:rPr>
          <w:b/>
          <w:color w:val="000000"/>
          <w:sz w:val="27"/>
        </w:rPr>
        <w:t>四、交货期、交货方式及交货地点</w:t>
      </w:r>
    </w:p>
    <w:p>
      <w:pPr>
        <w:jc w:val="both"/>
      </w:pPr>
      <w:r>
        <w:rPr>
          <w:sz w:val="21"/>
        </w:rPr>
        <w:t xml:space="preserve">       </w:t>
      </w:r>
      <w:r>
        <w:rPr>
          <w:color w:val="000000"/>
          <w:sz w:val="27"/>
        </w:rPr>
        <w:t>1.</w:t>
      </w:r>
      <w:r>
        <w:rPr>
          <w:color w:val="000000"/>
          <w:sz w:val="27"/>
        </w:rPr>
        <w:t>交货期：一年</w:t>
      </w:r>
      <w:r>
        <w:rPr>
          <w:color w:val="000000"/>
          <w:sz w:val="27"/>
        </w:rPr>
        <w:t>内</w:t>
      </w:r>
      <w:r>
        <w:rPr>
          <w:color w:val="000000"/>
          <w:sz w:val="27"/>
        </w:rPr>
        <w:t>，自</w:t>
      </w:r>
      <w:r>
        <w:rPr>
          <w:sz w:val="21"/>
          <w:u w:val="single"/>
        </w:rPr>
        <w:t xml:space="preserve">     </w:t>
      </w:r>
      <w:r>
        <w:rPr>
          <w:color w:val="000000"/>
          <w:sz w:val="27"/>
        </w:rPr>
        <w:t>年</w:t>
      </w:r>
      <w:r>
        <w:rPr>
          <w:sz w:val="21"/>
          <w:u w:val="single"/>
        </w:rPr>
        <w:t xml:space="preserve">    </w:t>
      </w:r>
      <w:r>
        <w:rPr>
          <w:color w:val="000000"/>
          <w:sz w:val="27"/>
        </w:rPr>
        <w:t>月</w:t>
      </w:r>
      <w:r>
        <w:rPr>
          <w:sz w:val="21"/>
          <w:u w:val="single"/>
        </w:rPr>
        <w:t xml:space="preserve">    </w:t>
      </w:r>
      <w:r>
        <w:rPr>
          <w:color w:val="000000"/>
          <w:sz w:val="27"/>
        </w:rPr>
        <w:t>日起至</w:t>
      </w:r>
      <w:r>
        <w:rPr>
          <w:sz w:val="21"/>
          <w:u w:val="single"/>
        </w:rPr>
        <w:t xml:space="preserve">     </w:t>
      </w:r>
      <w:r>
        <w:rPr>
          <w:color w:val="000000"/>
          <w:sz w:val="27"/>
        </w:rPr>
        <w:t>年</w:t>
      </w:r>
      <w:r>
        <w:rPr>
          <w:sz w:val="21"/>
          <w:u w:val="single"/>
        </w:rPr>
        <w:t xml:space="preserve">     </w:t>
      </w:r>
      <w:r>
        <w:rPr>
          <w:color w:val="000000"/>
          <w:sz w:val="27"/>
        </w:rPr>
        <w:t>月</w:t>
      </w:r>
      <w:r>
        <w:rPr>
          <w:sz w:val="21"/>
          <w:u w:val="single"/>
        </w:rPr>
        <w:t xml:space="preserve">    </w:t>
      </w:r>
      <w:r>
        <w:rPr>
          <w:color w:val="000000"/>
          <w:sz w:val="27"/>
        </w:rPr>
        <w:t>日止</w:t>
      </w:r>
      <w:r>
        <w:rPr>
          <w:color w:val="000000"/>
          <w:sz w:val="27"/>
        </w:rPr>
        <w:t>（若合同金额达到采购预算金额，则项目提前到期）</w:t>
      </w:r>
      <w:r>
        <w:rPr>
          <w:color w:val="000000"/>
          <w:sz w:val="27"/>
        </w:rPr>
        <w:t>。</w:t>
      </w:r>
    </w:p>
    <w:p>
      <w:pPr>
        <w:jc w:val="both"/>
      </w:pPr>
      <w:r>
        <w:rPr>
          <w:sz w:val="21"/>
        </w:rPr>
        <w:t xml:space="preserve">       </w:t>
      </w:r>
      <w:r>
        <w:rPr>
          <w:color w:val="000000"/>
          <w:sz w:val="27"/>
        </w:rPr>
        <w:t>2.</w:t>
      </w:r>
      <w:r>
        <w:rPr>
          <w:color w:val="000000"/>
          <w:sz w:val="27"/>
        </w:rPr>
        <w:t>交货方式：因甲方场地有限的原因，需每天交货一次或以上，乙方应在接到甲方通知后第二天上午</w:t>
      </w:r>
      <w:r>
        <w:rPr>
          <w:color w:val="000000"/>
          <w:sz w:val="27"/>
        </w:rPr>
        <w:t>9</w:t>
      </w:r>
      <w:r>
        <w:rPr>
          <w:color w:val="000000"/>
          <w:sz w:val="27"/>
        </w:rPr>
        <w:t>时前保证供货，并送达甲方指定仓库。</w:t>
      </w:r>
    </w:p>
    <w:p>
      <w:pPr>
        <w:jc w:val="both"/>
      </w:pPr>
      <w:r>
        <w:rPr>
          <w:sz w:val="21"/>
        </w:rPr>
        <w:t xml:space="preserve">       </w:t>
      </w:r>
      <w:r>
        <w:rPr>
          <w:color w:val="000000"/>
          <w:sz w:val="27"/>
        </w:rPr>
        <w:t>3.</w:t>
      </w:r>
      <w:r>
        <w:rPr>
          <w:color w:val="000000"/>
          <w:sz w:val="27"/>
        </w:rPr>
        <w:t>交货地点：甲方指点地点。</w:t>
      </w:r>
    </w:p>
    <w:p>
      <w:pPr>
        <w:jc w:val="both"/>
      </w:pPr>
      <w:r>
        <w:rPr>
          <w:b/>
          <w:color w:val="000000"/>
          <w:sz w:val="27"/>
        </w:rPr>
        <w:t>五、付款方式</w:t>
      </w:r>
    </w:p>
    <w:p>
      <w:pPr>
        <w:jc w:val="both"/>
      </w:pPr>
      <w:r>
        <w:rPr>
          <w:color w:val="000000"/>
          <w:sz w:val="27"/>
        </w:rPr>
        <w:t xml:space="preserve">1.  </w:t>
      </w:r>
      <w:r>
        <w:rPr>
          <w:color w:val="000000"/>
          <w:sz w:val="27"/>
        </w:rPr>
        <w:t>支付比例</w:t>
      </w:r>
      <w:r>
        <w:rPr>
          <w:color w:val="000000"/>
          <w:sz w:val="27"/>
        </w:rPr>
        <w:t>100%</w:t>
      </w:r>
      <w:r>
        <w:rPr>
          <w:color w:val="000000"/>
          <w:sz w:val="27"/>
        </w:rPr>
        <w:t>，按月支付，甲方收到乙方开具的上一个月相应款额发票后</w:t>
      </w:r>
      <w:r>
        <w:rPr>
          <w:color w:val="000000"/>
          <w:sz w:val="27"/>
        </w:rPr>
        <w:t>7</w:t>
      </w:r>
      <w:r>
        <w:rPr>
          <w:color w:val="000000"/>
          <w:sz w:val="27"/>
        </w:rPr>
        <w:t>天内向乙方支付上一个月相应款额的</w:t>
      </w:r>
      <w:r>
        <w:rPr>
          <w:color w:val="000000"/>
          <w:sz w:val="27"/>
        </w:rPr>
        <w:t>100%</w:t>
      </w:r>
      <w:r>
        <w:rPr>
          <w:color w:val="000000"/>
          <w:sz w:val="27"/>
        </w:rPr>
        <w:t>。</w:t>
      </w:r>
    </w:p>
    <w:p>
      <w:pPr>
        <w:jc w:val="both"/>
      </w:pPr>
      <w:r>
        <w:rPr>
          <w:b/>
          <w:color w:val="000000"/>
          <w:sz w:val="27"/>
        </w:rPr>
        <w:t>六、售后服务要求</w:t>
      </w:r>
    </w:p>
    <w:p>
      <w:pPr>
        <w:jc w:val="both"/>
      </w:pPr>
      <w:r>
        <w:rPr>
          <w:color w:val="000000"/>
          <w:sz w:val="27"/>
        </w:rPr>
        <w:t>1</w:t>
      </w:r>
      <w:r>
        <w:rPr>
          <w:color w:val="000000"/>
          <w:sz w:val="27"/>
        </w:rPr>
        <w:t>、符合运输要求，保证货物到达目的地时完好，无毁损，包装不回收。在运输过程中造成的产品损失或损坏由乙方负担。</w:t>
      </w:r>
    </w:p>
    <w:p>
      <w:pPr>
        <w:jc w:val="both"/>
      </w:pPr>
      <w:r>
        <w:rPr>
          <w:b/>
          <w:color w:val="000000"/>
          <w:sz w:val="27"/>
        </w:rPr>
        <w:t>七、验收：</w:t>
      </w:r>
    </w:p>
    <w:p>
      <w:pPr>
        <w:jc w:val="both"/>
      </w:pPr>
      <w:r>
        <w:rPr>
          <w:color w:val="000000"/>
          <w:sz w:val="27"/>
        </w:rPr>
        <w:t>1.</w:t>
      </w:r>
      <w:r>
        <w:rPr>
          <w:color w:val="000000"/>
          <w:sz w:val="27"/>
        </w:rPr>
        <w:t>按火化棺通用技术条件（</w:t>
      </w:r>
      <w:r>
        <w:rPr>
          <w:color w:val="000000"/>
          <w:sz w:val="27"/>
        </w:rPr>
        <w:t>GB/31182-2014</w:t>
      </w:r>
      <w:r>
        <w:rPr>
          <w:color w:val="000000"/>
          <w:sz w:val="27"/>
        </w:rPr>
        <w:t>）、 燃油式火化机通用技术条件（</w:t>
      </w:r>
      <w:r>
        <w:rPr>
          <w:color w:val="000000"/>
          <w:sz w:val="27"/>
        </w:rPr>
        <w:t>GB 19054-2003</w:t>
      </w:r>
      <w:r>
        <w:rPr>
          <w:color w:val="000000"/>
          <w:sz w:val="27"/>
        </w:rPr>
        <w:t>）等相关规范进行验收。验收时如发现所交付的货物有短装、次品、损坏或其它不符合本招标文件及合同规定之情形者，甲方应做出详细的现场记录，或由甲方和乙方双方签署备忘录。此现场记录或备忘录可用作补充、缺失和更换损坏货物的有效证据。由此产生的有关费用由乙方承担。</w:t>
      </w:r>
    </w:p>
    <w:p>
      <w:pPr>
        <w:jc w:val="both"/>
      </w:pPr>
      <w:r>
        <w:rPr>
          <w:color w:val="000000"/>
          <w:sz w:val="27"/>
        </w:rPr>
        <w:t>2.</w:t>
      </w:r>
      <w:r>
        <w:rPr>
          <w:color w:val="000000"/>
          <w:sz w:val="27"/>
        </w:rPr>
        <w:t>乙方应将出厂合格证等有关资料交付给甲方。</w:t>
      </w:r>
    </w:p>
    <w:p>
      <w:pPr>
        <w:jc w:val="both"/>
      </w:pPr>
      <w:r>
        <w:rPr>
          <w:color w:val="000000"/>
          <w:sz w:val="27"/>
        </w:rPr>
        <w:t>3.</w:t>
      </w:r>
      <w:r>
        <w:rPr>
          <w:color w:val="000000"/>
          <w:sz w:val="27"/>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color w:val="000000"/>
          <w:sz w:val="27"/>
        </w:rPr>
        <w:t>八、违约责任与赔偿损失</w:t>
      </w:r>
    </w:p>
    <w:p>
      <w:pPr>
        <w:jc w:val="both"/>
      </w:pPr>
      <w:r>
        <w:rPr>
          <w:color w:val="000000"/>
          <w:sz w:val="27"/>
        </w:rPr>
        <w:t>1.</w:t>
      </w:r>
      <w:r>
        <w:rPr>
          <w:color w:val="000000"/>
          <w:sz w:val="27"/>
        </w:rPr>
        <w:t>乙方交付的货物的服务不符合本合同规定的，甲方有权拒收，并且乙方须向甲方支付本合同总价</w:t>
      </w:r>
      <w:r>
        <w:rPr>
          <w:color w:val="000000"/>
          <w:sz w:val="27"/>
        </w:rPr>
        <w:t>5%</w:t>
      </w:r>
      <w:r>
        <w:rPr>
          <w:color w:val="000000"/>
          <w:sz w:val="27"/>
        </w:rPr>
        <w:t>的违约金。</w:t>
      </w:r>
    </w:p>
    <w:p>
      <w:pPr>
        <w:jc w:val="both"/>
      </w:pPr>
      <w:r>
        <w:rPr>
          <w:color w:val="000000"/>
          <w:sz w:val="27"/>
        </w:rPr>
        <w:t>2.</w:t>
      </w:r>
      <w:r>
        <w:rPr>
          <w:color w:val="000000"/>
          <w:sz w:val="27"/>
        </w:rPr>
        <w:t>乙方未能按本合同规定的交货时间交付货物的，从逾期之日起每日按本合同总价</w:t>
      </w:r>
      <w:r>
        <w:rPr>
          <w:color w:val="000000"/>
          <w:sz w:val="27"/>
        </w:rPr>
        <w:t>3‰</w:t>
      </w:r>
      <w:r>
        <w:rPr>
          <w:color w:val="000000"/>
          <w:sz w:val="27"/>
        </w:rPr>
        <w:t>的数额向甲方支付违约金；逾期半个月以上的，甲方有权终止合同，由此造成的甲方经济损失由乙方承担。</w:t>
      </w:r>
    </w:p>
    <w:p>
      <w:pPr>
        <w:jc w:val="both"/>
      </w:pPr>
      <w:r>
        <w:rPr>
          <w:color w:val="000000"/>
          <w:sz w:val="27"/>
        </w:rPr>
        <w:t>3.</w:t>
      </w:r>
      <w:r>
        <w:rPr>
          <w:color w:val="000000"/>
          <w:sz w:val="27"/>
        </w:rPr>
        <w:t>甲方无正当理由拒收货物，到期拒付货物款项的，甲方向乙方偿付本合同总的</w:t>
      </w:r>
      <w:r>
        <w:rPr>
          <w:color w:val="000000"/>
          <w:sz w:val="27"/>
        </w:rPr>
        <w:t>5%</w:t>
      </w:r>
      <w:r>
        <w:rPr>
          <w:color w:val="000000"/>
          <w:sz w:val="27"/>
        </w:rPr>
        <w:t>的违约金。甲方人逾期付款，则每日按本合同总价的</w:t>
      </w:r>
      <w:r>
        <w:rPr>
          <w:color w:val="000000"/>
          <w:sz w:val="27"/>
        </w:rPr>
        <w:t>3‰</w:t>
      </w:r>
      <w:r>
        <w:rPr>
          <w:color w:val="000000"/>
          <w:sz w:val="27"/>
        </w:rPr>
        <w:t>向乙方偿付违约金。</w:t>
      </w:r>
    </w:p>
    <w:p>
      <w:pPr>
        <w:jc w:val="both"/>
      </w:pPr>
      <w:r>
        <w:rPr>
          <w:color w:val="000000"/>
          <w:sz w:val="27"/>
        </w:rPr>
        <w:t>4.</w:t>
      </w:r>
      <w:r>
        <w:rPr>
          <w:color w:val="000000"/>
          <w:sz w:val="27"/>
        </w:rPr>
        <w:t>其它违约责任按《中华人民共和国民法典</w:t>
      </w:r>
      <w:r>
        <w:rPr>
          <w:color w:val="000000"/>
          <w:sz w:val="27"/>
        </w:rPr>
        <w:t>(</w:t>
      </w:r>
      <w:r>
        <w:rPr>
          <w:color w:val="000000"/>
          <w:sz w:val="27"/>
        </w:rPr>
        <w:t>合同编</w:t>
      </w:r>
      <w:r>
        <w:rPr>
          <w:color w:val="000000"/>
          <w:sz w:val="27"/>
        </w:rPr>
        <w:t>)</w:t>
      </w:r>
      <w:r>
        <w:rPr>
          <w:color w:val="000000"/>
          <w:sz w:val="27"/>
        </w:rPr>
        <w:t>》处理。</w:t>
      </w:r>
    </w:p>
    <w:p>
      <w:pPr>
        <w:jc w:val="both"/>
      </w:pPr>
      <w:r>
        <w:rPr>
          <w:b/>
          <w:color w:val="000000"/>
          <w:sz w:val="27"/>
        </w:rPr>
        <w:t>九、争议的解决</w:t>
      </w:r>
      <w:r>
        <w:rPr>
          <w:sz w:val="21"/>
        </w:rPr>
        <w:t xml:space="preserve">  </w:t>
      </w:r>
    </w:p>
    <w:p>
      <w:pPr>
        <w:jc w:val="both"/>
      </w:pPr>
      <w:r>
        <w:rPr>
          <w:color w:val="000000"/>
          <w:sz w:val="27"/>
        </w:rPr>
        <w:t>合同执行过程中发生的任何争议，如双方不能通过友好协商解决，按相关法律法规处理。</w:t>
      </w:r>
    </w:p>
    <w:p>
      <w:pPr>
        <w:jc w:val="both"/>
      </w:pPr>
      <w:r>
        <w:rPr>
          <w:b/>
          <w:color w:val="000000"/>
          <w:sz w:val="27"/>
        </w:rPr>
        <w:t>十、不可抗力</w:t>
      </w:r>
    </w:p>
    <w:p>
      <w:pPr>
        <w:jc w:val="both"/>
      </w:pPr>
      <w:r>
        <w:rPr>
          <w:color w:val="000000"/>
          <w:sz w:val="27"/>
        </w:rPr>
        <w:t>1.</w:t>
      </w:r>
      <w:r>
        <w:rPr>
          <w:color w:val="000000"/>
          <w:sz w:val="27"/>
        </w:rPr>
        <w:t>任何一方由于不可抗力原因不能履行合同时，应在不可抗力事件结束后</w:t>
      </w:r>
      <w:r>
        <w:rPr>
          <w:color w:val="000000"/>
          <w:sz w:val="27"/>
        </w:rPr>
        <w:t>1</w:t>
      </w:r>
      <w:r>
        <w:rPr>
          <w:color w:val="000000"/>
          <w:sz w:val="27"/>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7"/>
        </w:rPr>
        <w:t>十一、税费</w:t>
      </w:r>
    </w:p>
    <w:p>
      <w:pPr>
        <w:jc w:val="both"/>
      </w:pPr>
      <w:r>
        <w:rPr>
          <w:color w:val="000000"/>
          <w:sz w:val="27"/>
        </w:rPr>
        <w:t>1.</w:t>
      </w:r>
      <w:r>
        <w:rPr>
          <w:color w:val="000000"/>
          <w:sz w:val="27"/>
        </w:rPr>
        <w:t>在中国境内、外发生的与本合同执行有关的一切税费均由乙方负担。</w:t>
      </w:r>
    </w:p>
    <w:p>
      <w:pPr>
        <w:jc w:val="both"/>
      </w:pPr>
      <w:r>
        <w:rPr>
          <w:b/>
          <w:color w:val="000000"/>
          <w:sz w:val="27"/>
        </w:rPr>
        <w:t>十二、</w:t>
      </w:r>
      <w:r>
        <w:rPr>
          <w:sz w:val="21"/>
        </w:rPr>
        <w:t xml:space="preserve"> </w:t>
      </w:r>
      <w:r>
        <w:rPr>
          <w:b/>
          <w:color w:val="000000"/>
          <w:sz w:val="27"/>
        </w:rPr>
        <w:t>其它</w:t>
      </w:r>
    </w:p>
    <w:p>
      <w:pPr>
        <w:jc w:val="both"/>
      </w:pPr>
      <w:r>
        <w:rPr>
          <w:color w:val="000000"/>
          <w:sz w:val="27"/>
        </w:rPr>
        <w:t>1.</w:t>
      </w:r>
      <w:r>
        <w:rPr>
          <w:color w:val="000000"/>
          <w:sz w:val="27"/>
        </w:rPr>
        <w:t>本合同所有附件、招标文件、投标文件、中标通知书均为合同的有效组成部分，与本合同具有同等法律效力。</w:t>
      </w:r>
    </w:p>
    <w:p>
      <w:pPr>
        <w:jc w:val="both"/>
      </w:pPr>
      <w:r>
        <w:rPr>
          <w:color w:val="000000"/>
          <w:sz w:val="27"/>
        </w:rPr>
        <w:t>2.</w:t>
      </w:r>
      <w:r>
        <w:rPr>
          <w:color w:val="000000"/>
          <w:sz w:val="27"/>
        </w:rPr>
        <w:t>在执行本合同的过程中，所有经双方签署确认的文件（包括会议纪要、补充协议、往来信函）即成为本合同的有效组成部分。</w:t>
      </w:r>
    </w:p>
    <w:p>
      <w:pPr>
        <w:jc w:val="both"/>
      </w:pPr>
      <w:r>
        <w:rPr>
          <w:color w:val="000000"/>
          <w:sz w:val="27"/>
        </w:rPr>
        <w:t>3.</w:t>
      </w:r>
      <w:r>
        <w:rPr>
          <w:color w:val="000000"/>
          <w:sz w:val="27"/>
        </w:rPr>
        <w:t>如一方地址、电话、传真号码有变更，应在变更当日内书面通知对方，否则，应承担相应责任。</w:t>
      </w:r>
    </w:p>
    <w:p>
      <w:pPr>
        <w:jc w:val="both"/>
      </w:pPr>
      <w:r>
        <w:rPr>
          <w:color w:val="000000"/>
          <w:sz w:val="27"/>
        </w:rPr>
        <w:t>4.</w:t>
      </w:r>
      <w:r>
        <w:rPr>
          <w:color w:val="000000"/>
          <w:sz w:val="27"/>
        </w:rPr>
        <w:t>除甲方事先书面同意外，乙方不得部分或全部转让其应履行的合同项下的义务。</w:t>
      </w:r>
    </w:p>
    <w:p>
      <w:pPr>
        <w:jc w:val="both"/>
      </w:pPr>
      <w:r>
        <w:rPr>
          <w:color w:val="000000"/>
          <w:sz w:val="27"/>
        </w:rPr>
        <w:t>5.</w:t>
      </w:r>
      <w:r>
        <w:rPr>
          <w:color w:val="000000"/>
          <w:sz w:val="27"/>
        </w:rPr>
        <w:t>预留给中小企业的份额比例</w:t>
      </w:r>
      <w:r>
        <w:rPr>
          <w:color w:val="000000"/>
          <w:sz w:val="27"/>
        </w:rPr>
        <w:t>:</w:t>
      </w:r>
      <w:r>
        <w:rPr>
          <w:color w:val="000000"/>
          <w:sz w:val="27"/>
        </w:rPr>
        <w:t>根据《广东省财政厅 广东省工业和信息化厅关于进一步加强政府采购促进中小企业发展的通知》（粤财采购</w:t>
      </w:r>
      <w:r>
        <w:rPr>
          <w:color w:val="000000"/>
          <w:sz w:val="27"/>
        </w:rPr>
        <w:t>[2022]6</w:t>
      </w:r>
      <w:r>
        <w:rPr>
          <w:color w:val="000000"/>
          <w:sz w:val="27"/>
        </w:rPr>
        <w:t>号）一、（一）本项目预留该部分采购项目预算总额的</w:t>
      </w:r>
      <w:r>
        <w:rPr>
          <w:color w:val="000000"/>
          <w:sz w:val="27"/>
        </w:rPr>
        <w:t>40%</w:t>
      </w:r>
      <w:r>
        <w:rPr>
          <w:color w:val="000000"/>
          <w:sz w:val="27"/>
        </w:rPr>
        <w:t>专门面向中小企业采购，其中预留给小微企业的比例不低于</w:t>
      </w:r>
      <w:r>
        <w:rPr>
          <w:color w:val="000000"/>
          <w:sz w:val="27"/>
        </w:rPr>
        <w:t>70%</w:t>
      </w:r>
      <w:r>
        <w:rPr>
          <w:color w:val="000000"/>
          <w:sz w:val="27"/>
        </w:rPr>
        <w:t>。要求获得采购合同的供应商将采购项目中的一定比例分包给一家或者多家中小企业。接受分包合同的中小企业与分包企业之间不得存在直接控股、管理关系。</w:t>
      </w:r>
    </w:p>
    <w:p>
      <w:pPr>
        <w:jc w:val="both"/>
      </w:pPr>
      <w:r>
        <w:rPr>
          <w:color w:val="000000"/>
          <w:sz w:val="27"/>
        </w:rPr>
        <w:t>6.</w:t>
      </w:r>
      <w:r>
        <w:rPr>
          <w:color w:val="000000"/>
          <w:sz w:val="27"/>
        </w:rPr>
        <w:t>如出现不定因素或者不可抗力，甲方需求量骤增，乙方应保证及时足量供货。</w:t>
      </w:r>
    </w:p>
    <w:p>
      <w:pPr>
        <w:jc w:val="both"/>
      </w:pPr>
      <w:r>
        <w:rPr>
          <w:b/>
          <w:color w:val="000000"/>
          <w:sz w:val="27"/>
        </w:rPr>
        <w:t>十三、合同生效</w:t>
      </w:r>
    </w:p>
    <w:p>
      <w:pPr>
        <w:jc w:val="both"/>
      </w:pPr>
      <w:r>
        <w:rPr>
          <w:color w:val="000000"/>
          <w:sz w:val="27"/>
        </w:rPr>
        <w:t>1.</w:t>
      </w:r>
      <w:r>
        <w:rPr>
          <w:color w:val="000000"/>
          <w:sz w:val="27"/>
        </w:rPr>
        <w:t>本合同在甲乙双方法人代表或其授权代表签字盖章后生效。</w:t>
      </w:r>
    </w:p>
    <w:p>
      <w:pPr>
        <w:jc w:val="both"/>
      </w:pPr>
      <w:r>
        <w:rPr>
          <w:color w:val="000000"/>
          <w:sz w:val="27"/>
        </w:rPr>
        <w:t>2.</w:t>
      </w:r>
      <w:r>
        <w:rPr>
          <w:color w:val="000000"/>
          <w:sz w:val="27"/>
        </w:rPr>
        <w:t>合同一式四份，甲方执两份，乙方执一份，甲方主管部门执一份。</w:t>
      </w:r>
    </w:p>
    <w:p>
      <w:pPr>
        <w:jc w:val="both"/>
      </w:pPr>
      <w:r>
        <w:rPr>
          <w:sz w:val="21"/>
        </w:rPr>
        <w:t xml:space="preserve"> </w:t>
      </w:r>
    </w:p>
    <w:p>
      <w:pPr>
        <w:jc w:val="both"/>
      </w:pPr>
      <w:r>
        <w:rPr>
          <w:b/>
          <w:color w:val="000000"/>
          <w:sz w:val="27"/>
        </w:rPr>
        <w:t>甲方（盖章）：</w:t>
      </w:r>
      <w:r>
        <w:rPr>
          <w:b/>
          <w:sz w:val="21"/>
        </w:rPr>
        <w:t xml:space="preserve">                   </w:t>
      </w:r>
      <w:r>
        <w:rPr>
          <w:b/>
          <w:color w:val="000000"/>
          <w:sz w:val="27"/>
        </w:rPr>
        <w:t>乙方（盖章）：</w:t>
      </w:r>
    </w:p>
    <w:p>
      <w:pPr>
        <w:jc w:val="both"/>
      </w:pPr>
      <w:r>
        <w:rPr>
          <w:b/>
          <w:color w:val="000000"/>
          <w:sz w:val="27"/>
        </w:rPr>
        <w:t>代表：</w:t>
      </w:r>
      <w:r>
        <w:rPr>
          <w:b/>
          <w:sz w:val="21"/>
        </w:rPr>
        <w:t xml:space="preserve">                          </w:t>
      </w:r>
      <w:r>
        <w:rPr>
          <w:b/>
          <w:color w:val="000000"/>
          <w:sz w:val="27"/>
        </w:rPr>
        <w:t>代表：</w:t>
      </w:r>
    </w:p>
    <w:p>
      <w:pPr>
        <w:jc w:val="both"/>
      </w:pPr>
      <w:r>
        <w:rPr>
          <w:color w:val="000000"/>
          <w:sz w:val="27"/>
        </w:rPr>
        <w:t>签定地点：</w:t>
      </w:r>
    </w:p>
    <w:p>
      <w:pPr>
        <w:jc w:val="both"/>
      </w:pPr>
      <w:r>
        <w:rPr>
          <w:color w:val="000000"/>
          <w:sz w:val="27"/>
        </w:rPr>
        <w:t>签定日期：　　　年　　月　　日</w:t>
      </w:r>
      <w:r>
        <w:rPr>
          <w:sz w:val="21"/>
        </w:rPr>
        <w:t xml:space="preserve">   </w:t>
      </w:r>
      <w:r>
        <w:rPr>
          <w:color w:val="000000"/>
          <w:sz w:val="27"/>
        </w:rPr>
        <w:t>签定日期：　　年　　月　　日</w:t>
      </w:r>
    </w:p>
    <w:p>
      <w:pPr>
        <w:jc w:val="both"/>
      </w:pPr>
      <w:r>
        <w:rPr>
          <w:color w:val="000000"/>
          <w:sz w:val="27"/>
        </w:rPr>
        <w:t>开户名称：</w:t>
      </w:r>
    </w:p>
    <w:p>
      <w:pPr>
        <w:jc w:val="both"/>
      </w:pPr>
      <w:r>
        <w:rPr>
          <w:color w:val="000000"/>
          <w:sz w:val="27"/>
        </w:rPr>
        <w:t>银行帐号：</w:t>
      </w:r>
    </w:p>
    <w:p>
      <w:pPr>
        <w:jc w:val="both"/>
      </w:pPr>
      <w:r>
        <w:rPr>
          <w:color w:val="000000"/>
          <w:sz w:val="27"/>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440515-2023-01076</w:t>
      </w:r>
    </w:p>
    <w:p>
      <w:pPr>
        <w:jc w:val="center"/>
      </w:pPr>
      <w:r>
        <w:rPr>
          <w:b/>
          <w:sz w:val="24"/>
        </w:rPr>
        <w:t>采购项目编号：</w:t>
      </w:r>
      <w:r>
        <w:rPr>
          <w:b/>
          <w:sz w:val="24"/>
        </w:rPr>
        <w:t>HSCGZB202309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汕头市澄海区殡仪馆卫生棺采购项目</w:t>
      </w:r>
      <w:r>
        <w:rPr>
          <w:u w:val="single"/>
        </w:rPr>
        <w:t>”</w:t>
      </w:r>
      <w:r>
        <w:rPr/>
        <w:t>项目的招标[采购项目编号为：</w:t>
      </w:r>
      <w:r>
        <w:rPr>
          <w:u w:val="single"/>
        </w:rPr>
        <w:t>HSCGZB202309</w:t>
      </w:r>
      <w:r>
        <w:rPr/>
        <w:t>]，我方愿参与投标。</w:t>
      </w:r>
    </w:p>
    <w:p>
      <w:pPr>
        <w:ind w:firstLine="480"/>
      </w:pPr>
      <w:r>
        <w:rPr/>
        <w:t>我方确认收到贵方提供的</w:t>
      </w:r>
      <w:r>
        <w:rPr>
          <w:u w:val="single"/>
        </w:rPr>
        <w:t>“</w:t>
      </w:r>
      <w:r>
        <w:rPr>
          <w:u w:val="single"/>
        </w:rPr>
        <w:t>汕头市澄海区殡仪馆卫生棺采购项目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汕头市澄海区殡仪馆卫生棺采购项目</w:t>
      </w:r>
      <w:r>
        <w:rPr/>
        <w:t>”项目采购[采购项目编号为</w:t>
      </w:r>
      <w:r>
        <w:rPr/>
        <w:t>HSCGZB202309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汕头市澄海区殡仪馆</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汕头市澄海区殡仪馆卫生棺采购项目</w:t>
      </w:r>
      <w:r>
        <w:rPr/>
        <w:t>招标中获中标（采购项目编号：</w:t>
      </w:r>
      <w:r>
        <w:rPr/>
        <w:t>HSCGZB202309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汕头市澄海区殡仪馆卫生棺采购项目</w:t>
      </w:r>
      <w:r>
        <w:rPr/>
        <w:t>”项目（采购项目编号：</w:t>
      </w:r>
      <w:r>
        <w:rPr/>
        <w:t>HSCGZB202309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