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440515-2022-01143</w:t>
      </w:r>
    </w:p>
    <w:p>
      <w:pPr>
        <w:jc w:val="center"/>
      </w:pPr>
      <w:r>
        <w:rPr>
          <w:b/>
          <w:sz w:val="24"/>
        </w:rPr>
        <w:t>采购项目编号：</w:t>
      </w:r>
      <w:r>
        <w:rPr>
          <w:b/>
          <w:sz w:val="24"/>
        </w:rPr>
        <w:t>440515-2022-01143</w:t>
      </w:r>
    </w:p>
    <w:p>
      <w:pPr>
        <w:jc w:val="center"/>
      </w:pPr>
      <w:r>
        <w:rPr>
          <w:b/>
          <w:sz w:val="24"/>
        </w:rPr>
        <w:t>项目名称：</w:t>
      </w:r>
      <w:r>
        <w:rPr>
          <w:b/>
          <w:sz w:val="24"/>
        </w:rPr>
        <w:t>高水平中职学校工艺美术专业群暨双精准示范专业建设项目</w:t>
      </w:r>
    </w:p>
    <w:p>
      <w:pPr>
        <w:jc w:val="center"/>
      </w:pPr>
      <w:r>
        <w:rPr>
          <w:b/>
          <w:sz w:val="24"/>
        </w:rPr>
        <w:t>采购人：</w:t>
      </w:r>
      <w:r>
        <w:rPr>
          <w:b/>
          <w:sz w:val="24"/>
        </w:rPr>
        <w:t>汕头市澄海职业技术教育中心</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第一章投标邀请</w:t>
      </w:r>
    </w:p>
    <w:p>
      <w:pPr>
        <w:ind w:firstLine="480"/>
      </w:pPr>
      <w:r>
        <w:rPr/>
        <w:t>广东恒胜建设监理有限公司</w:t>
      </w:r>
      <w:r>
        <w:rPr/>
        <w:t>受</w:t>
      </w:r>
      <w:r>
        <w:rPr/>
        <w:t>汕头市澄海职业技术教育中心</w:t>
      </w:r>
      <w:r>
        <w:rPr/>
        <w:t>的委托，采用</w:t>
      </w:r>
      <w:r>
        <w:rPr/>
        <w:t>公开招标</w:t>
      </w:r>
      <w:r>
        <w:rPr/>
        <w:t>方式组织采购</w:t>
      </w:r>
      <w:r>
        <w:rPr/>
        <w:t>高水平中职学校工艺美术专业群暨双精准示范专业建设项目</w:t>
      </w:r>
      <w:r>
        <w:rPr/>
        <w:t>。欢迎符合资格条件的国内供应商参加投标。</w:t>
      </w:r>
    </w:p>
    <w:p>
      <w:r>
        <w:rPr>
          <w:b/>
          <w:sz w:val="28"/>
        </w:rPr>
        <w:t>一.项目概述</w:t>
      </w:r>
    </w:p>
    <w:p>
      <w:r>
        <w:rPr>
          <w:b/>
          <w:sz w:val="24"/>
        </w:rPr>
        <w:t>1.名称与编号</w:t>
      </w:r>
    </w:p>
    <w:p>
      <w:pPr>
        <w:ind w:firstLine="480"/>
      </w:pPr>
      <w:r>
        <w:rPr/>
        <w:t>项目名称：</w:t>
      </w:r>
      <w:r>
        <w:rPr/>
        <w:t>高水平中职学校工艺美术专业群暨双精准示范专业建设项目</w:t>
      </w:r>
    </w:p>
    <w:p>
      <w:pPr>
        <w:ind w:firstLine="480"/>
      </w:pPr>
      <w:r>
        <w:rPr/>
        <w:t>采购计划编号：</w:t>
      </w:r>
      <w:r>
        <w:rPr/>
        <w:t>440515-2022-01143</w:t>
      </w:r>
    </w:p>
    <w:p>
      <w:pPr>
        <w:ind w:firstLine="480"/>
      </w:pPr>
      <w:r>
        <w:rPr/>
        <w:t>采购项目编号：</w:t>
      </w:r>
      <w:r>
        <w:rPr/>
        <w:t>440515-2022-01143</w:t>
      </w:r>
    </w:p>
    <w:p>
      <w:pPr>
        <w:ind w:firstLine="480"/>
      </w:pPr>
      <w:r>
        <w:rPr/>
        <w:t>采购方式：</w:t>
      </w:r>
      <w:r>
        <w:rPr/>
        <w:t>公开招标</w:t>
      </w:r>
    </w:p>
    <w:p>
      <w:pPr>
        <w:ind w:firstLine="480"/>
      </w:pPr>
      <w:r>
        <w:rPr/>
        <w:t>预算金额：</w:t>
      </w:r>
      <w:r>
        <w:rPr/>
        <w:t>1,391,496.00</w:t>
      </w:r>
      <w:r>
        <w:rPr/>
        <w:t>元</w:t>
      </w:r>
    </w:p>
    <w:p>
      <w:r>
        <w:rPr>
          <w:b/>
          <w:sz w:val="24"/>
        </w:rPr>
        <w:t>2.项目内容及需求情况（采购项目技术规格、参数及要求）</w:t>
      </w:r>
    </w:p>
    <w:p>
      <w:pPr>
        <w:ind w:firstLine="480"/>
      </w:pPr>
    </w:p>
    <w:p/>
    <w:p>
      <w:r>
        <w:rPr/>
        <w:t>采购包1(高水平中职学校工艺美术专业群暨双精准示范专业建设项目):</w:t>
      </w:r>
    </w:p>
    <w:p>
      <w:r>
        <w:rPr/>
        <w:t>采购包预算金额：1,391,496.00元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教学专用仪器</w:t>
            </w:r>
          </w:p>
        </w:tc>
        <w:tc>
          <w:tcPr>
            <w:tcW w:type="dxa" w:w="2052"/>
          </w:tcPr>
          <w:p>
            <w:r>
              <w:rPr/>
              <w:t>高水平中职学校工艺美术专业群暨双精准示范专业建设项目</w:t>
            </w:r>
          </w:p>
        </w:tc>
        <w:tc>
          <w:tcPr>
            <w:tcW w:type="dxa" w:w="977"/>
          </w:tcPr>
          <w:p>
            <w:r>
              <w:rPr/>
              <w:t>1.0000(项)</w:t>
            </w:r>
          </w:p>
        </w:tc>
        <w:tc>
          <w:tcPr>
            <w:tcW w:type="dxa" w:w="977"/>
          </w:tcPr>
          <w:p>
            <w:r>
              <w:rPr/>
              <w:t>详见第二章</w:t>
            </w:r>
          </w:p>
        </w:tc>
        <w:tc>
          <w:tcPr>
            <w:tcW w:type="dxa" w:w="977"/>
          </w:tcPr>
          <w:p>
            <w:r>
              <w:rPr/>
              <w:t>1,391,496.00</w:t>
            </w:r>
          </w:p>
        </w:tc>
        <w:tc>
          <w:tcPr>
            <w:tcW w:type="dxa" w:w="977"/>
          </w:tcPr>
          <w:p>
            <w:r>
              <w:rPr/>
              <w:t>否</w:t>
            </w:r>
          </w:p>
        </w:tc>
      </w:tr>
    </w:tbl>
    <w:p/>
    <w:p>
      <w:r>
        <w:rPr/>
        <w:t>本采购包不接受联合体投标</w:t>
      </w:r>
    </w:p>
    <w:p/>
    <w:p>
      <w:r>
        <w:rPr/>
        <w:t>合同履行期限：本项目建设周期为60个日历日，从项目签订合同到平台建设通过初验为止。初验结束后，项目进入为期3个月的试运行期，试运行结束后，应进行项目终验。</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1）具有独立承担民事责任的能力：提供有效的营业执照或事业法人登记证等相关证明。</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3）具有良好的商业信誉和健全的财务会计制度：提供2020年度或2021年度经会计师事务所出具的财务审计报告，或2022年基本开户行出具的资信证明。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采购包1（高水平中职学校工艺美术专业群暨双精准示范专业建设项目）：</w:t>
      </w:r>
      <w:r>
        <w:rPr/>
        <w:t>无</w:t>
      </w:r>
    </w:p>
    <w:p/>
    <w:p>
      <w:r>
        <w:rPr>
          <w:b/>
          <w:sz w:val="24"/>
        </w:rPr>
        <w:t>3.本项目特定的资格要求：</w:t>
      </w:r>
    </w:p>
    <w:p>
      <w:pPr>
        <w:ind w:firstLine="480"/>
      </w:pPr>
    </w:p>
    <w:p/>
    <w:p>
      <w:r>
        <w:rPr/>
        <w:t>采购包1（高水平中职学校工艺美术专业群暨双精准示范专业建设项目）：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2)供应商必须符合法律、行政法规规定的其他条件。</w:t>
      </w:r>
    </w:p>
    <w:p/>
    <w:p>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汕头市政府门户网站（www.shantou.gov.cn）、中国采购与招标(www.chinabidding.com.cn)、中国财经报（www.cfen.com.cn）、广东恒胜建设监理有限公司网(http://www.gdhsjl.cn/)</w:t>
      </w:r>
    </w:p>
    <w:p>
      <w:r>
        <w:rPr>
          <w:b/>
          <w:sz w:val="28"/>
        </w:rPr>
        <w:t>六.本项目联系方式：</w:t>
      </w:r>
    </w:p>
    <w:p>
      <w:r>
        <w:rPr>
          <w:b/>
          <w:sz w:val="24"/>
        </w:rPr>
        <w:t>1.采购人信息</w:t>
      </w:r>
    </w:p>
    <w:p>
      <w:pPr>
        <w:ind w:firstLine="480"/>
      </w:pPr>
      <w:r>
        <w:rPr/>
        <w:t>名称：</w:t>
      </w:r>
      <w:r>
        <w:rPr/>
        <w:t>汕头市澄海职业技术教育中心</w:t>
      </w:r>
    </w:p>
    <w:p>
      <w:pPr>
        <w:ind w:firstLine="480"/>
      </w:pPr>
      <w:r>
        <w:rPr/>
        <w:t>地址：</w:t>
      </w:r>
      <w:r>
        <w:rPr/>
        <w:t>汕头市澄海区广益街道环翠路</w:t>
      </w:r>
    </w:p>
    <w:p>
      <w:pPr>
        <w:ind w:firstLine="480"/>
      </w:pPr>
      <w:r>
        <w:rPr/>
        <w:t>联系方式：</w:t>
      </w:r>
      <w:r>
        <w:rPr/>
        <w:t>0754-86983344</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广东恒胜建设监理有限公司</w:t>
      </w:r>
    </w:p>
    <w:p>
      <w:pPr>
        <w:ind w:firstLine="480"/>
      </w:pPr>
      <w:r>
        <w:rPr/>
        <w:t>电话：</w:t>
      </w:r>
      <w:r>
        <w:rPr/>
        <w:t>0754-85861273</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r>
        <w:rPr>
          <w:sz w:val="21"/>
        </w:rPr>
        <w:t>1</w:t>
      </w:r>
      <w:r>
        <w:rPr>
          <w:sz w:val="21"/>
        </w:rPr>
        <w:t>、项目名称：</w:t>
      </w:r>
      <w:r>
        <w:rPr>
          <w:sz w:val="21"/>
        </w:rPr>
        <w:t>高水平中职学校工艺美术专业群暨双精准示范专业建设项目</w:t>
      </w:r>
    </w:p>
    <w:p>
      <w:pPr>
        <w:jc w:val="both"/>
      </w:pPr>
      <w:r>
        <w:rPr>
          <w:sz w:val="21"/>
        </w:rPr>
        <w:t>2</w:t>
      </w:r>
      <w:r>
        <w:rPr>
          <w:sz w:val="21"/>
        </w:rPr>
        <w:t>、采购人：汕头市澄海职业技术教育中心</w:t>
      </w:r>
    </w:p>
    <w:p>
      <w:pPr>
        <w:jc w:val="both"/>
      </w:pPr>
      <w:r>
        <w:rPr>
          <w:sz w:val="21"/>
        </w:rPr>
        <w:t>3</w:t>
      </w:r>
      <w:r>
        <w:rPr>
          <w:sz w:val="21"/>
        </w:rPr>
        <w:t>、项目内容：</w:t>
      </w:r>
      <w:r>
        <w:rPr>
          <w:sz w:val="21"/>
        </w:rPr>
        <w:t>主要包括</w:t>
      </w:r>
      <w:r>
        <w:rPr>
          <w:sz w:val="21"/>
        </w:rPr>
        <w:t>①高水平学校建设专项培训与指导咨询服务（</w:t>
      </w:r>
      <w:r>
        <w:rPr>
          <w:sz w:val="21"/>
        </w:rPr>
        <w:t>1</w:t>
      </w:r>
      <w:r>
        <w:rPr>
          <w:sz w:val="21"/>
        </w:rPr>
        <w:t>年）、②工艺美术专业群标准研制与教学资源库开发、③工艺美术双精准示范专业建设等。</w:t>
      </w:r>
    </w:p>
    <w:p>
      <w:pPr>
        <w:jc w:val="both"/>
      </w:pPr>
    </w:p>
    <w:p>
      <w:pPr>
        <w:jc w:val="both"/>
      </w:pPr>
    </w:p>
    <w:p/>
    <w:p>
      <w:pPr>
        <w:ind w:firstLine="480"/>
      </w:pPr>
    </w:p>
    <w:p/>
    <w:p>
      <w:r>
        <w:rPr/>
        <w:t>采购包1（高水平中职学校工艺美术专业群暨双精准示范专业建设项目）：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本项目建设周期为60个日历日，从项目签订合同到平台建设通过初验为止。初验结束后，项目进入为期3个月的试运行期，试运行结束后，应进行项目终验。</w:t>
            </w:r>
          </w:p>
        </w:tc>
      </w:tr>
      <w:tr>
        <w:tc>
          <w:tcPr>
            <w:tcW w:type="dxa" w:w="4153"/>
          </w:tcPr>
          <w:p>
            <w:r>
              <w:rPr/>
              <w:t>标的提供的地点</w:t>
            </w:r>
          </w:p>
        </w:tc>
        <w:tc>
          <w:tcPr>
            <w:tcW w:type="dxa" w:w="4153"/>
          </w:tcPr>
          <w:p>
            <w:pPr>
              <w:jc w:val="left"/>
            </w:pPr>
          </w:p>
          <w:p>
            <w:r>
              <w:rPr/>
              <w:t>采购人指定的地点。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1期：支付比例30%，合同签订后15天内采购人收到中标人开具的相应款额发票后向中标人预付合同价的30%；</w:t>
            </w:r>
          </w:p>
          <w:p/>
          <w:p>
            <w:r>
              <w:rPr/>
              <w:t>2期：支付比例50%，支付比例50%，试运行正常通过后15天内采购人收到中标人开具的相应款额发票后向中标人支付合同价的50%；</w:t>
            </w:r>
          </w:p>
          <w:p/>
          <w:p>
            <w:r>
              <w:rPr/>
              <w:t>3期：支付比例20%，支付比例20%，项目竣工验收(终验)合格后15天内采购人收到中标人开具的相应款额发票后向中标人支付至合同价的100%。</w:t>
            </w:r>
          </w:p>
        </w:tc>
      </w:tr>
      <w:tr>
        <w:tc>
          <w:tcPr>
            <w:tcW w:type="dxa" w:w="4153"/>
          </w:tcPr>
          <w:p>
            <w:r>
              <w:rPr/>
              <w:t>验收要求</w:t>
            </w:r>
          </w:p>
        </w:tc>
        <w:tc>
          <w:tcPr>
            <w:tcW w:type="dxa" w:w="4153"/>
          </w:tcPr>
          <w:p>
            <w:pPr>
              <w:jc w:val="left"/>
            </w:pPr>
          </w:p>
          <w:p/>
          <w:p/>
          <w:p>
            <w:r>
              <w:rPr/>
              <w:t>1期：1、按相关规范进行验收。  2、软件系统（及配套货物）为原厂商未启封全新包装，具出厂合格证，序列号、包装箱号与出厂批号一致，并可追索查阅。所有随货物的附件必须齐全。 3、中标人应将软件系统（及配套货物）的保修书、有关单证资料及配备件、随机工具等交付给采购人。 4、采购人组成验收小组按国家有关规定、规范进行验收。因货物质量问题发生争议时，由相关质量技术监督部门或行业相关主管部门进行鉴定。软件系统（及配套货物）符合质量技术标准的，鉴定费由采购人承担；否则鉴定费由中标人承担。 5、项目验收时，需提供包含但不仅限于如下详实的资料： 1）软件安装包； 2）《系统需求规格说明书》； 3）《系统设计说明书》； 4）《系统测试计划》； 5）《系统测试用例》； 6）《系统测试报告》； 7）《系统操作手册》； 8）《系统培训手册》； 9）《系统安装部署手册》等。</w:t>
            </w:r>
          </w:p>
        </w:tc>
      </w:tr>
      <w:tr>
        <w:tc>
          <w:tcPr>
            <w:tcW w:type="dxa" w:w="4153"/>
          </w:tcPr>
          <w:p>
            <w:r>
              <w:rPr/>
              <w:t>履约保证金</w:t>
            </w:r>
          </w:p>
        </w:tc>
        <w:tc>
          <w:tcPr>
            <w:tcW w:type="dxa" w:w="4153"/>
          </w:tcPr>
          <w:p>
            <w:pPr>
              <w:jc w:val="left"/>
            </w:pPr>
          </w:p>
          <w:p/>
          <w:p/>
          <w:p/>
          <w:p>
            <w:r>
              <w:rPr/>
              <w:t>收取比例：5%,说明：1、中标人在签订合同前应向采购人提交履约保函，履约保函的金额为中标价的5%。履约保函在工程竣工验收（终验）合格之日起15天内一次性退还。根据《广东省财政厅关于进一步优化政府采购领域营商环境的实施意见》（粤财采购〔2021〕7号）文件精神，经采购人确认中标人为诚信供应商的，免收履约保证金。 2、如中标人不能保质保量完成本项目，除承担相关责任外，采购人有权没收合同履约保证金。</w:t>
            </w:r>
          </w:p>
        </w:tc>
      </w:tr>
      <w:tr>
        <w:tc>
          <w:tcPr>
            <w:tcW w:type="dxa" w:w="4153"/>
          </w:tcPr>
          <w:p>
            <w:r>
              <w:rPr/>
              <w:t>其他</w:t>
            </w:r>
          </w:p>
        </w:tc>
        <w:tc>
          <w:tcPr>
            <w:tcW w:type="dxa" w:w="4153"/>
          </w:tcPr>
          <w:p>
            <w:pPr>
              <w:jc w:val="left"/>
            </w:pPr>
          </w:p>
          <w:p/>
          <w:p>
            <w:r>
              <w:rPr/>
              <w:t>一、投标报价:项目采购预算为人民币1,391,496.00元，投标报价包含但不限于：软件系统（及配套货物）本身价格以及安装调试等项目所需的费用、税金等一切费用。所有价格均应为人民币报价，金额单位为元。供应商投标报价不得高于项目采购预算，否则按无效投标处理。取中标人的投标报价作为合同价</w:t>
            </w:r>
          </w:p>
          <w:p/>
          <w:p>
            <w:r>
              <w:rPr/>
              <w:t>二、质量保证:1、供应商应保证提供的软件系统（及配套货物）质量指标达到相应的生产国家标准、行业标准及投标文件中确定遵照的有关标准及技术要求，且适合中国国家标准，或通用国际标准。如软件系统（及配套货物）不符合要求，由此产生的一切费用由中标人负责。 2、供应商应保证所供软件系统（及配套货物）是制造商原装全新的、未使用过的，并且全部软件系统（及配套货物）无设计、材料或工艺上的缺陷，所有软件系统（及配套货物）在开箱检验时必须完好，无损坏，配置与装箱单相同，数量、质量及性能不低于本需求书中提供的要求；软件系统（及配套货物）外观完整、无污渍，铭牌清晰并能够准确表示产品的型号、规格、制造商等。 3、供应商保证提供的软件系统（及配套货物）不侵犯任何第三方的专利、商标或版权。否则，供应商须承担对第三方的专利或版权的侵权责任并承担因此而发生的所有费用。 4、质量标准：国家及行业等现行验评标准合格等级。 5、供应商应将货物用户手册、保修手册、有关单证资料及配备件、随机工具等交付给采购人，使用操作及安全须知等重要资料应附有中文说明。 6、供货要求：供应商须将所有货物以原厂家包装运送至安装地点，由采购人验收人员现场检查后方可启封、安装、调试和培训</w:t>
            </w:r>
          </w:p>
          <w:p/>
          <w:p>
            <w:r>
              <w:rPr/>
              <w:t>三、伴随服务要求:1、所有软件系统（及配套货物）均由供应商免费送货至采购人指定的项目地点并安装，安装应以招标文件及采购合同要求的技术参数指标为标准。 2、所有软件系统（及配套货物）交付后的拆箱、安装等项工作(包括其费用)由中标人负责，但必须在用户指定人员的参与下进行。原始记录需经各方签名后作为验收的文件之一。 3、中标人应提供包括但不限于满足软件系统（及配套货物）安装、使用和维护的技术文件。 4、应按出厂标准及国家有关要求进行包装及运输</w:t>
            </w:r>
          </w:p>
          <w:p/>
          <w:p>
            <w:r>
              <w:rPr/>
              <w:t>四、售后服务要求:1、 质量保修范围：工艺美术专业群标准研制与教学资源开发、工艺美术双精准示范专业建设等以及双方约定其他项目。 2、本项目质量保修期如下： （1）保修期为3年（含软件的免费升级）； （2）其他项目保修期限按政府相关规定执行。 3、保修期内，如软件系统（及配套货物）因非人为因素出现故障而造成短期停用时，则保修期和免费维修期相应顺延。若因软件系统（及配套货物）自身质量不能正常运转且维修仍不能正常运转的，中标人须更换软件系统（及配套货物），其技术参数须与原货物相同或优于，由此造成的费用由中标人承担。 4、保修期内，中标人须在粤东地区范围内设有维修点，至少有2名技术人员常驻维修点负责本项目的售后服务，接到用户提出的维修或技术支持要求后1小时内予以响应，需要到达用户现场的6小时内到达用户现场，直至解决问题为止。 5、符合运输要求，保证软件系统（及配套货物）到达目的地时完好，无毁损，包装不回收。在运输过程中造成的产品损失或损坏由中标人负担。 6、要求本系统能够稳定的运行，提供本项目完整的项目实施管理、售后服务等</w:t>
            </w:r>
          </w:p>
          <w:p/>
          <w:p>
            <w:r>
              <w:rPr/>
              <w:t>五、预留份额:根据《政府采购促进中小企业发展管理办法》，本项目预留项目预算总额的80%专门面向中小企业采购，其中预留给小微企业的比例不低于60%。要求获得采购合同的供应商将采购项目中的一定比例分包给一家或者多家中小企业。接受分包合同的中小企业与分包企业之间不得存在直接控股、管理关系</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教学专用仪器</w:t>
            </w:r>
          </w:p>
        </w:tc>
        <w:tc>
          <w:tcPr>
            <w:tcW w:type="dxa" w:w="1923"/>
          </w:tcPr>
          <w:p>
            <w:r>
              <w:rPr/>
              <w:t>高水平中职学校工艺美术专业群暨双精准示范专业建设项目</w:t>
            </w:r>
          </w:p>
        </w:tc>
        <w:tc>
          <w:tcPr>
            <w:tcW w:type="dxa" w:w="385"/>
          </w:tcPr>
          <w:p>
            <w:r>
              <w:rPr/>
              <w:t>项</w:t>
            </w:r>
          </w:p>
        </w:tc>
        <w:tc>
          <w:tcPr>
            <w:tcW w:type="dxa" w:w="769"/>
          </w:tcPr>
          <w:p>
            <w:pPr>
              <w:jc w:val="right"/>
            </w:pPr>
            <w:r>
              <w:rPr/>
              <w:t>1.0000</w:t>
            </w:r>
          </w:p>
        </w:tc>
        <w:tc>
          <w:tcPr>
            <w:tcW w:type="dxa" w:w="769"/>
          </w:tcPr>
          <w:p>
            <w:pPr>
              <w:jc w:val="right"/>
            </w:pPr>
            <w:r>
              <w:rPr/>
              <w:t>1,391,496.00</w:t>
            </w:r>
          </w:p>
        </w:tc>
        <w:tc>
          <w:tcPr>
            <w:tcW w:type="dxa" w:w="769"/>
          </w:tcPr>
          <w:p>
            <w:pPr>
              <w:jc w:val="right"/>
            </w:pPr>
            <w:r>
              <w:rPr/>
              <w:t>1,391,496.00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高水平中职学校工艺美术专业群暨双精准示范专业建设项目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4"/>
              </w:rPr>
              <w:t>1、</w:t>
            </w:r>
            <w:r>
              <w:rPr>
                <w:b/>
                <w:sz w:val="24"/>
              </w:rPr>
              <w:t>高水平学校建设专项培训与指导咨询服务（</w:t>
            </w:r>
            <w:r>
              <w:rPr>
                <w:b/>
                <w:sz w:val="24"/>
              </w:rPr>
              <w:t>1年）</w:t>
            </w:r>
          </w:p>
          <w:tbl>
            <w:tblPr>
              <w:tblBorders>
                <w:top w:val="none" w:color="000000" w:sz="4"/>
                <w:left w:val="none" w:color="000000" w:sz="4"/>
                <w:bottom w:val="none" w:color="000000" w:sz="4"/>
                <w:right w:val="none" w:color="000000" w:sz="4"/>
                <w:insideH w:val="none"/>
                <w:insideV w:val="none"/>
              </w:tblBorders>
            </w:tblPr>
            <w:tblGrid>
              <w:gridCol w:w="308"/>
              <w:gridCol w:w="1087"/>
              <w:gridCol w:w="3358"/>
              <w:gridCol w:w="504"/>
              <w:gridCol w:w="338"/>
            </w:tblGrid>
            <w:tr>
              <w:tc>
                <w:tcPr>
                  <w:tcW w:type="dxa" w:w="308"/>
                  <w:tcBorders>
                    <w:top w:val="single" w:color="000000" w:sz="4"/>
                    <w:left w:val="single" w:color="000000" w:sz="4"/>
                    <w:bottom w:val="single" w:color="000000" w:sz="4"/>
                    <w:right w:val="single" w:color="000000" w:sz="4"/>
                  </w:tcBorders>
                  <w:shd w:fill="D7D7D7"/>
                  <w:vAlign w:val="top"/>
                </w:tcPr>
                <w:p>
                  <w:pPr>
                    <w:jc w:val="center"/>
                  </w:pPr>
                  <w:r>
                    <w:rPr>
                      <w:b/>
                      <w:sz w:val="21"/>
                    </w:rPr>
                    <w:t>序号</w:t>
                  </w:r>
                </w:p>
              </w:tc>
              <w:tc>
                <w:tcPr>
                  <w:tcW w:type="dxa" w:w="1087"/>
                  <w:tcBorders>
                    <w:top w:val="single" w:color="000000" w:sz="4"/>
                    <w:left w:val="single" w:color="000000" w:sz="4"/>
                    <w:bottom w:val="single" w:color="000000" w:sz="4"/>
                    <w:right w:val="single" w:color="000000" w:sz="4"/>
                  </w:tcBorders>
                  <w:shd w:fill="D7D7D7"/>
                  <w:vAlign w:val="top"/>
                </w:tcPr>
                <w:p>
                  <w:pPr>
                    <w:jc w:val="center"/>
                  </w:pPr>
                  <w:r>
                    <w:rPr>
                      <w:b/>
                      <w:sz w:val="21"/>
                    </w:rPr>
                    <w:t>建设任务</w:t>
                  </w:r>
                </w:p>
              </w:tc>
              <w:tc>
                <w:tcPr>
                  <w:tcW w:type="dxa" w:w="3358"/>
                  <w:tcBorders>
                    <w:top w:val="single" w:color="000000" w:sz="4"/>
                    <w:left w:val="single" w:color="000000" w:sz="4"/>
                    <w:bottom w:val="single" w:color="000000" w:sz="4"/>
                    <w:right w:val="single" w:color="000000" w:sz="4"/>
                  </w:tcBorders>
                  <w:shd w:fill="D7D7D7"/>
                  <w:vAlign w:val="top"/>
                </w:tcPr>
                <w:p>
                  <w:pPr>
                    <w:jc w:val="center"/>
                  </w:pPr>
                  <w:r>
                    <w:rPr>
                      <w:b/>
                      <w:sz w:val="21"/>
                    </w:rPr>
                    <w:t>建设成果</w:t>
                  </w:r>
                </w:p>
              </w:tc>
              <w:tc>
                <w:tcPr>
                  <w:tcW w:type="dxa" w:w="504"/>
                  <w:tcBorders>
                    <w:top w:val="single" w:color="000000" w:sz="4"/>
                    <w:left w:val="single" w:color="000000" w:sz="4"/>
                    <w:bottom w:val="single" w:color="000000" w:sz="4"/>
                    <w:right w:val="single" w:color="000000" w:sz="4"/>
                  </w:tcBorders>
                  <w:shd w:fill="D7D7D7"/>
                  <w:vAlign w:val="top"/>
                </w:tcPr>
                <w:p>
                  <w:pPr>
                    <w:jc w:val="center"/>
                  </w:pPr>
                  <w:r>
                    <w:rPr>
                      <w:b/>
                      <w:sz w:val="21"/>
                    </w:rPr>
                    <w:t>单位</w:t>
                  </w:r>
                </w:p>
              </w:tc>
              <w:tc>
                <w:tcPr>
                  <w:tcW w:type="dxa" w:w="338"/>
                  <w:tcBorders>
                    <w:top w:val="single" w:color="000000" w:sz="4"/>
                    <w:left w:val="single" w:color="000000" w:sz="4"/>
                    <w:bottom w:val="single" w:color="000000" w:sz="4"/>
                    <w:right w:val="single" w:color="000000" w:sz="4"/>
                  </w:tcBorders>
                  <w:shd w:fill="D7D7D7"/>
                  <w:vAlign w:val="top"/>
                </w:tcPr>
                <w:p>
                  <w:pPr>
                    <w:jc w:val="center"/>
                  </w:pPr>
                  <w:r>
                    <w:rPr>
                      <w:b/>
                      <w:sz w:val="21"/>
                    </w:rPr>
                    <w:t>数量</w:t>
                  </w:r>
                </w:p>
              </w:tc>
            </w:tr>
            <w:tr>
              <w:tc>
                <w:tcPr>
                  <w:tcW w:type="dxa" w:w="308"/>
                  <w:vMerge w:val="restart"/>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1087"/>
                  <w:vMerge w:val="restart"/>
                  <w:tcBorders>
                    <w:top w:val="none" w:color="000000" w:sz="4"/>
                    <w:left w:val="single" w:color="000000" w:sz="4"/>
                    <w:bottom w:val="single" w:color="000000" w:sz="4"/>
                    <w:right w:val="single" w:color="000000" w:sz="4"/>
                  </w:tcBorders>
                  <w:shd w:fill="FFFFFF"/>
                  <w:vAlign w:val="top"/>
                </w:tcPr>
                <w:p>
                  <w:pPr>
                    <w:jc w:val="center"/>
                  </w:pPr>
                  <w:r>
                    <w:rPr>
                      <w:sz w:val="21"/>
                    </w:rPr>
                    <w:t>召开高水平学校建设专项管理培训会议</w:t>
                  </w:r>
                </w:p>
              </w:tc>
              <w:tc>
                <w:tcPr>
                  <w:tcW w:type="dxa" w:w="3358"/>
                  <w:tcBorders>
                    <w:top w:val="none" w:color="000000" w:sz="4"/>
                    <w:left w:val="single" w:color="000000" w:sz="4"/>
                    <w:bottom w:val="single" w:color="000000" w:sz="4"/>
                    <w:right w:val="single" w:color="000000" w:sz="4"/>
                  </w:tcBorders>
                  <w:shd w:fill="FFFFFF"/>
                  <w:vAlign w:val="top"/>
                </w:tcPr>
                <w:p>
                  <w:pPr>
                    <w:jc w:val="left"/>
                  </w:pPr>
                  <w:r>
                    <w:rPr>
                      <w:sz w:val="21"/>
                    </w:rPr>
                    <w:t>高水平学校建设专项管理培训</w:t>
                  </w:r>
                  <w:r>
                    <w:rPr>
                      <w:sz w:val="21"/>
                    </w:rPr>
                    <w:t>PPT</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left"/>
                  </w:pPr>
                  <w:r>
                    <w:rPr>
                      <w:sz w:val="21"/>
                    </w:rPr>
                    <w:t>高水平学校建设专项管理培训会</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left"/>
                  </w:pPr>
                  <w:r>
                    <w:rPr>
                      <w:sz w:val="21"/>
                    </w:rPr>
                    <w:t>高水平学校建设管控教育专家</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名</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308"/>
                  <w:vMerge w:val="restart"/>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1087"/>
                  <w:vMerge w:val="restart"/>
                  <w:tcBorders>
                    <w:top w:val="none" w:color="000000" w:sz="4"/>
                    <w:left w:val="single" w:color="000000" w:sz="4"/>
                    <w:bottom w:val="single" w:color="000000" w:sz="4"/>
                    <w:right w:val="single" w:color="000000" w:sz="4"/>
                  </w:tcBorders>
                  <w:shd w:fill="FFFFFF"/>
                  <w:vAlign w:val="top"/>
                </w:tcPr>
                <w:p>
                  <w:pPr>
                    <w:jc w:val="center"/>
                  </w:pPr>
                  <w:r>
                    <w:rPr>
                      <w:sz w:val="21"/>
                    </w:rPr>
                    <w:t>半年度、年度专家评审指导</w:t>
                  </w:r>
                </w:p>
              </w:tc>
              <w:tc>
                <w:tcPr>
                  <w:tcW w:type="dxa" w:w="3358"/>
                  <w:tcBorders>
                    <w:top w:val="none" w:color="000000" w:sz="4"/>
                    <w:left w:val="single" w:color="000000" w:sz="4"/>
                    <w:bottom w:val="single" w:color="000000" w:sz="4"/>
                    <w:right w:val="single" w:color="000000" w:sz="4"/>
                  </w:tcBorders>
                  <w:shd w:fill="FFFFFF"/>
                  <w:vAlign w:val="top"/>
                </w:tcPr>
                <w:p>
                  <w:pPr>
                    <w:jc w:val="both"/>
                  </w:pPr>
                  <w:r>
                    <w:rPr>
                      <w:sz w:val="21"/>
                    </w:rPr>
                    <w:t>高水平中职学校资料框架体系线上培训会议</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both"/>
                  </w:pPr>
                  <w:r>
                    <w:rPr>
                      <w:sz w:val="21"/>
                    </w:rPr>
                    <w:t>高水平中职学校建设半年度专家评审结果反馈交流线上会议</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both"/>
                  </w:pPr>
                  <w:r>
                    <w:rPr>
                      <w:sz w:val="21"/>
                    </w:rPr>
                    <w:t>专业群建设半年度专家评审结果反馈交流线上会议</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both"/>
                  </w:pPr>
                  <w:r>
                    <w:rPr>
                      <w:sz w:val="21"/>
                    </w:rPr>
                    <w:t>半年度评审教育专家</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名</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4</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both"/>
                  </w:pPr>
                  <w:r>
                    <w:rPr>
                      <w:sz w:val="21"/>
                    </w:rPr>
                    <w:t>年度专家评审指导线下交流会议</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both"/>
                  </w:pPr>
                  <w:r>
                    <w:rPr>
                      <w:sz w:val="21"/>
                    </w:rPr>
                    <w:t>年度评审教育专家</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名</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308"/>
                  <w:vMerge/>
                  <w:tcBorders>
                    <w:top w:val="none" w:color="000000" w:sz="4"/>
                    <w:left w:val="single" w:color="000000" w:sz="4"/>
                    <w:bottom w:val="single" w:color="000000" w:sz="4"/>
                    <w:right w:val="single" w:color="000000" w:sz="4"/>
                  </w:tcBorders>
                </w:tcPr>
                <w:p/>
              </w:tc>
              <w:tc>
                <w:tcPr>
                  <w:tcW w:type="dxa" w:w="1087"/>
                  <w:vMerge/>
                  <w:tcBorders>
                    <w:top w:val="none" w:color="000000" w:sz="4"/>
                    <w:left w:val="single" w:color="000000" w:sz="4"/>
                    <w:bottom w:val="single" w:color="000000" w:sz="4"/>
                    <w:right w:val="single" w:color="000000" w:sz="4"/>
                  </w:tcBorders>
                </w:tcPr>
                <w:p/>
              </w:tc>
              <w:tc>
                <w:tcPr>
                  <w:tcW w:type="dxa" w:w="3358"/>
                  <w:tcBorders>
                    <w:top w:val="none" w:color="000000" w:sz="4"/>
                    <w:left w:val="single" w:color="000000" w:sz="4"/>
                    <w:bottom w:val="single" w:color="000000" w:sz="4"/>
                    <w:right w:val="single" w:color="000000" w:sz="4"/>
                  </w:tcBorders>
                  <w:shd w:fill="FFFFFF"/>
                  <w:vAlign w:val="top"/>
                </w:tcPr>
                <w:p>
                  <w:pPr>
                    <w:jc w:val="both"/>
                  </w:pPr>
                  <w:r>
                    <w:rPr>
                      <w:sz w:val="21"/>
                    </w:rPr>
                    <w:t>年度总结报告评审</w:t>
                  </w:r>
                </w:p>
              </w:tc>
              <w:tc>
                <w:tcPr>
                  <w:tcW w:type="dxa" w:w="504"/>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338"/>
                  <w:tcBorders>
                    <w:top w:val="none" w:color="000000" w:sz="4"/>
                    <w:left w:val="single" w:color="000000" w:sz="4"/>
                    <w:bottom w:val="single" w:color="000000" w:sz="4"/>
                    <w:right w:val="single" w:color="000000" w:sz="4"/>
                  </w:tcBorders>
                  <w:shd w:fill="FFFFFF"/>
                  <w:vAlign w:val="top"/>
                </w:tcPr>
                <w:p>
                  <w:pPr>
                    <w:jc w:val="center"/>
                  </w:pPr>
                  <w:r>
                    <w:rPr>
                      <w:sz w:val="21"/>
                    </w:rPr>
                    <w:t>1</w:t>
                  </w:r>
                </w:p>
              </w:tc>
            </w:tr>
          </w:tbl>
          <w:p>
            <w:pPr>
              <w:jc w:val="both"/>
            </w:pPr>
            <w:r>
              <w:rPr>
                <w:b/>
                <w:sz w:val="24"/>
              </w:rPr>
              <w:t>2、工艺美术专业群标准研制与教学资源库开发</w:t>
            </w:r>
          </w:p>
          <w:tbl>
            <w:tblPr>
              <w:tblBorders>
                <w:top w:val="none" w:color="000000" w:sz="4"/>
                <w:left w:val="none" w:color="000000" w:sz="4"/>
                <w:bottom w:val="none" w:color="000000" w:sz="4"/>
                <w:right w:val="none" w:color="000000" w:sz="4"/>
                <w:insideH w:val="none"/>
                <w:insideV w:val="none"/>
              </w:tblBorders>
            </w:tblPr>
            <w:tblGrid>
              <w:gridCol w:w="245"/>
              <w:gridCol w:w="744"/>
              <w:gridCol w:w="263"/>
              <w:gridCol w:w="426"/>
              <w:gridCol w:w="330"/>
              <w:gridCol w:w="2863"/>
              <w:gridCol w:w="368"/>
              <w:gridCol w:w="356"/>
            </w:tblGrid>
            <w:tr>
              <w:tc>
                <w:tcPr>
                  <w:tcW w:type="dxa" w:w="245"/>
                  <w:tcBorders>
                    <w:top w:val="single" w:color="000000" w:sz="4"/>
                    <w:left w:val="single" w:color="000000" w:sz="4"/>
                    <w:bottom w:val="single" w:color="000000" w:sz="4"/>
                    <w:right w:val="single" w:color="000000" w:sz="4"/>
                  </w:tcBorders>
                  <w:shd w:fill="D7D7D7"/>
                  <w:vAlign w:val="top"/>
                </w:tcPr>
                <w:p>
                  <w:pPr>
                    <w:jc w:val="center"/>
                  </w:pPr>
                  <w:r>
                    <w:rPr>
                      <w:b/>
                      <w:sz w:val="21"/>
                    </w:rPr>
                    <w:t>序号</w:t>
                  </w:r>
                </w:p>
              </w:tc>
              <w:tc>
                <w:tcPr>
                  <w:tcW w:type="dxa" w:w="1763"/>
                  <w:gridSpan w:val="4"/>
                  <w:tcBorders>
                    <w:top w:val="single" w:color="000000" w:sz="4"/>
                    <w:left w:val="single" w:color="000000" w:sz="4"/>
                    <w:bottom w:val="single" w:color="000000" w:sz="4"/>
                    <w:right w:val="single" w:color="000000" w:sz="4"/>
                  </w:tcBorders>
                  <w:shd w:fill="D7D7D7"/>
                  <w:vAlign w:val="top"/>
                </w:tcPr>
                <w:p>
                  <w:pPr>
                    <w:jc w:val="center"/>
                  </w:pPr>
                  <w:r>
                    <w:rPr>
                      <w:b/>
                      <w:sz w:val="21"/>
                    </w:rPr>
                    <w:t>建设任务</w:t>
                  </w:r>
                </w:p>
              </w:tc>
              <w:tc>
                <w:tcPr>
                  <w:tcW w:type="dxa" w:w="2863"/>
                  <w:tcBorders>
                    <w:top w:val="single" w:color="000000" w:sz="4"/>
                    <w:left w:val="single" w:color="000000" w:sz="4"/>
                    <w:bottom w:val="single" w:color="000000" w:sz="4"/>
                    <w:right w:val="single" w:color="000000" w:sz="4"/>
                  </w:tcBorders>
                  <w:shd w:fill="D7D7D7"/>
                  <w:vAlign w:val="top"/>
                </w:tcPr>
                <w:p>
                  <w:pPr>
                    <w:jc w:val="center"/>
                  </w:pPr>
                  <w:r>
                    <w:rPr>
                      <w:b/>
                      <w:sz w:val="21"/>
                    </w:rPr>
                    <w:t>建设成果</w:t>
                  </w:r>
                </w:p>
              </w:tc>
              <w:tc>
                <w:tcPr>
                  <w:tcW w:type="dxa" w:w="368"/>
                  <w:tcBorders>
                    <w:top w:val="single" w:color="000000" w:sz="4"/>
                    <w:left w:val="single" w:color="000000" w:sz="4"/>
                    <w:bottom w:val="single" w:color="000000" w:sz="4"/>
                    <w:right w:val="single" w:color="000000" w:sz="4"/>
                  </w:tcBorders>
                  <w:shd w:fill="D7D7D7"/>
                  <w:vAlign w:val="top"/>
                </w:tcPr>
                <w:p>
                  <w:pPr>
                    <w:jc w:val="center"/>
                  </w:pPr>
                  <w:r>
                    <w:rPr>
                      <w:b/>
                      <w:sz w:val="21"/>
                    </w:rPr>
                    <w:t>单位</w:t>
                  </w:r>
                </w:p>
              </w:tc>
              <w:tc>
                <w:tcPr>
                  <w:tcW w:type="dxa" w:w="356"/>
                  <w:tcBorders>
                    <w:top w:val="single" w:color="000000" w:sz="4"/>
                    <w:left w:val="single" w:color="000000" w:sz="4"/>
                    <w:bottom w:val="single" w:color="000000" w:sz="4"/>
                    <w:right w:val="single" w:color="000000" w:sz="4"/>
                  </w:tcBorders>
                  <w:shd w:fill="D7D7D7"/>
                  <w:vAlign w:val="top"/>
                </w:tcPr>
                <w:p>
                  <w:pPr>
                    <w:jc w:val="center"/>
                  </w:pPr>
                  <w:r>
                    <w:rPr>
                      <w:b/>
                      <w:sz w:val="21"/>
                    </w:rPr>
                    <w:t>数量</w:t>
                  </w:r>
                </w:p>
              </w:tc>
            </w:tr>
            <w:tr>
              <w:tc>
                <w:tcPr>
                  <w:tcW w:type="dxa" w:w="245"/>
                  <w:vMerge w:val="restart"/>
                  <w:tcBorders>
                    <w:top w:val="none" w:color="000000" w:sz="4"/>
                    <w:left w:val="single" w:color="000000" w:sz="4"/>
                    <w:bottom w:val="single" w:color="000000" w:sz="4"/>
                    <w:right w:val="single" w:color="000000" w:sz="4"/>
                  </w:tcBorders>
                  <w:shd w:fill="FFFFFF"/>
                  <w:vAlign w:val="top"/>
                </w:tcPr>
                <w:p>
                  <w:pPr>
                    <w:jc w:val="center"/>
                  </w:pPr>
                  <w:r>
                    <w:rPr>
                      <w:sz w:val="21"/>
                    </w:rPr>
                    <w:t>1</w:t>
                  </w:r>
                </w:p>
              </w:tc>
              <w:tc>
                <w:tcPr>
                  <w:tcW w:type="dxa" w:w="1763"/>
                  <w:gridSpan w:val="4"/>
                  <w:vMerge w:val="restart"/>
                  <w:tcBorders>
                    <w:top w:val="none" w:color="000000" w:sz="4"/>
                    <w:left w:val="single" w:color="000000" w:sz="4"/>
                    <w:bottom w:val="single" w:color="000000" w:sz="4"/>
                    <w:right w:val="single" w:color="000000" w:sz="4"/>
                  </w:tcBorders>
                  <w:shd w:fill="FFFFFF"/>
                  <w:vAlign w:val="top"/>
                </w:tcPr>
                <w:p>
                  <w:pPr>
                    <w:jc w:val="center"/>
                  </w:pPr>
                  <w:r>
                    <w:rPr>
                      <w:sz w:val="21"/>
                    </w:rPr>
                    <w:t>专业群组群逻辑分析</w:t>
                  </w: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《专业群范畴内的产业链知识图谱》【平台展示】</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1763"/>
                  <w:gridSpan w:val="4"/>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《相关行业全岗位人才需求分析可视化》【平台展示】</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1763"/>
                  <w:gridSpan w:val="4"/>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《专业对接岗位分析可视化》【平台展示】</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1763"/>
                  <w:gridSpan w:val="4"/>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《专业群关联岗位群一览表》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1763"/>
                  <w:gridSpan w:val="4"/>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《产业链</w:t>
                  </w:r>
                  <w:r>
                    <w:rPr>
                      <w:sz w:val="21"/>
                    </w:rPr>
                    <w:t>-技术链-人才链-专业群全景关系图》</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1763"/>
                  <w:gridSpan w:val="4"/>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《专业群范畴内的产业链知识图谱》【平台展示】</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val="restart"/>
                  <w:tcBorders>
                    <w:top w:val="none" w:color="000000" w:sz="4"/>
                    <w:left w:val="single" w:color="000000" w:sz="4"/>
                    <w:bottom w:val="single" w:color="000000" w:sz="4"/>
                    <w:right w:val="single" w:color="000000" w:sz="4"/>
                  </w:tcBorders>
                  <w:shd w:fill="FFFFFF"/>
                  <w:vAlign w:val="top"/>
                </w:tcPr>
                <w:p>
                  <w:pPr>
                    <w:jc w:val="center"/>
                  </w:pPr>
                  <w:r>
                    <w:rPr>
                      <w:sz w:val="21"/>
                    </w:rPr>
                    <w:t>2</w:t>
                  </w:r>
                </w:p>
              </w:tc>
              <w:tc>
                <w:tcPr>
                  <w:tcW w:type="dxa" w:w="744"/>
                  <w:vMerge w:val="restart"/>
                  <w:tcBorders>
                    <w:top w:val="none" w:color="000000" w:sz="4"/>
                    <w:left w:val="single" w:color="000000" w:sz="4"/>
                    <w:bottom w:val="single" w:color="000000" w:sz="4"/>
                    <w:right w:val="single" w:color="000000" w:sz="4"/>
                  </w:tcBorders>
                  <w:shd w:fill="FFFFFF"/>
                  <w:vAlign w:val="top"/>
                </w:tcPr>
                <w:p>
                  <w:pPr>
                    <w:jc w:val="center"/>
                  </w:pPr>
                  <w:r>
                    <w:rPr>
                      <w:b/>
                      <w:sz w:val="21"/>
                    </w:rPr>
                    <w:t>专</w:t>
                  </w:r>
                </w:p>
                <w:p>
                  <w:pPr>
                    <w:jc w:val="center"/>
                  </w:pPr>
                  <w:r>
                    <w:rPr>
                      <w:b/>
                      <w:sz w:val="21"/>
                    </w:rPr>
                    <w:t>业</w:t>
                  </w:r>
                </w:p>
                <w:p>
                  <w:pPr>
                    <w:jc w:val="center"/>
                  </w:pPr>
                  <w:r>
                    <w:rPr>
                      <w:b/>
                      <w:sz w:val="21"/>
                    </w:rPr>
                    <w:t>群</w:t>
                  </w:r>
                </w:p>
                <w:p>
                  <w:pPr>
                    <w:jc w:val="center"/>
                  </w:pPr>
                  <w:r>
                    <w:rPr>
                      <w:b/>
                      <w:sz w:val="21"/>
                    </w:rPr>
                    <w:t>标</w:t>
                  </w:r>
                </w:p>
                <w:p>
                  <w:pPr>
                    <w:jc w:val="center"/>
                  </w:pPr>
                  <w:r>
                    <w:rPr>
                      <w:b/>
                      <w:sz w:val="21"/>
                    </w:rPr>
                    <w:t>准</w:t>
                  </w:r>
                </w:p>
                <w:p>
                  <w:pPr>
                    <w:jc w:val="center"/>
                  </w:pPr>
                  <w:r>
                    <w:rPr>
                      <w:b/>
                      <w:sz w:val="21"/>
                    </w:rPr>
                    <w:t>研</w:t>
                  </w:r>
                </w:p>
                <w:p>
                  <w:pPr>
                    <w:jc w:val="center"/>
                  </w:pPr>
                  <w:r>
                    <w:rPr>
                      <w:b/>
                      <w:sz w:val="21"/>
                    </w:rPr>
                    <w:t>制</w:t>
                  </w:r>
                </w:p>
              </w:tc>
              <w:tc>
                <w:tcPr>
                  <w:tcW w:type="dxa" w:w="1019"/>
                  <w:gridSpan w:val="3"/>
                  <w:vMerge w:val="restart"/>
                  <w:tcBorders>
                    <w:top w:val="none" w:color="000000" w:sz="4"/>
                    <w:left w:val="single" w:color="000000" w:sz="4"/>
                    <w:bottom w:val="single" w:color="000000" w:sz="4"/>
                    <w:right w:val="single" w:color="000000" w:sz="4"/>
                  </w:tcBorders>
                  <w:shd w:fill="FFFFFF"/>
                  <w:vAlign w:val="top"/>
                </w:tcPr>
                <w:p>
                  <w:pPr>
                    <w:jc w:val="center"/>
                  </w:pPr>
                  <w:r>
                    <w:rPr>
                      <w:sz w:val="21"/>
                    </w:rPr>
                    <w:t>人才培养方案研制管理云平台应用</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人才培养方案研制管理云平台应用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356"/>
                  <w:tcBorders>
                    <w:top w:val="singl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人才培养方案研制管理云平台使用说明</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val="restart"/>
                  <w:tcBorders>
                    <w:top w:val="none" w:color="000000" w:sz="4"/>
                    <w:left w:val="single" w:color="000000" w:sz="4"/>
                    <w:bottom w:val="single" w:color="000000" w:sz="4"/>
                    <w:right w:val="single" w:color="000000" w:sz="4"/>
                  </w:tcBorders>
                  <w:shd w:fill="FFFFFF"/>
                  <w:vAlign w:val="top"/>
                </w:tcPr>
                <w:p>
                  <w:pPr>
                    <w:jc w:val="center"/>
                  </w:pPr>
                  <w:r>
                    <w:rPr>
                      <w:sz w:val="21"/>
                    </w:rPr>
                    <w:t>专业群多维调研与分析</w:t>
                  </w:r>
                </w:p>
              </w:tc>
              <w:tc>
                <w:tcPr>
                  <w:tcW w:type="dxa" w:w="426"/>
                  <w:vMerge w:val="restart"/>
                  <w:tcBorders>
                    <w:top w:val="none" w:color="000000" w:sz="4"/>
                    <w:left w:val="single" w:color="000000" w:sz="4"/>
                    <w:bottom w:val="single" w:color="000000" w:sz="4"/>
                    <w:right w:val="single" w:color="000000" w:sz="4"/>
                  </w:tcBorders>
                  <w:shd w:fill="FFFFFF"/>
                  <w:vAlign w:val="top"/>
                </w:tcPr>
                <w:p>
                  <w:pPr>
                    <w:jc w:val="center"/>
                  </w:pPr>
                  <w:r>
                    <w:rPr>
                      <w:sz w:val="21"/>
                    </w:rPr>
                    <w:t>产业人才结构现状与需求调研</w:t>
                  </w:r>
                </w:p>
              </w:tc>
              <w:tc>
                <w:tcPr>
                  <w:tcW w:type="dxa" w:w="330"/>
                  <w:vMerge w:val="restart"/>
                  <w:tcBorders>
                    <w:top w:val="none" w:color="000000" w:sz="4"/>
                    <w:left w:val="single" w:color="000000" w:sz="4"/>
                    <w:bottom w:val="single" w:color="000000" w:sz="4"/>
                    <w:right w:val="single" w:color="000000" w:sz="4"/>
                  </w:tcBorders>
                  <w:shd w:fill="FFFFFF"/>
                  <w:vAlign w:val="top"/>
                </w:tcPr>
                <w:p>
                  <w:pPr>
                    <w:jc w:val="center"/>
                  </w:pPr>
                  <w:r>
                    <w:rPr>
                      <w:sz w:val="21"/>
                    </w:rPr>
                    <w:t>岗位群人才需求与特征大数据分析</w:t>
                  </w:r>
                </w:p>
                <w:p>
                  <w:pPr>
                    <w:jc w:val="center"/>
                  </w:pPr>
                  <w:r>
                    <w:rPr>
                      <w:sz w:val="21"/>
                    </w:rPr>
                    <w:t>【平台同步展示】</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《岗位群人才需求分布表》</w:t>
                  </w:r>
                </w:p>
              </w:tc>
              <w:tc>
                <w:tcPr>
                  <w:tcW w:type="dxa" w:w="368"/>
                  <w:tcBorders>
                    <w:top w:val="singl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singl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《岗位群人才经验要求分布表》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《岗位群人才薪资水平分布表》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《岗位群人才学历要求分布表》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《岗位群人才行业类型分布表》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《岗位群人才企业性质分布表》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《岗位群人才企业规模分布表》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《岗位群工作经验要求与人才需求对比分析表》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《岗位群薪资水平分布与人才需求对比分析表》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《岗位群人才需求</w:t>
                  </w:r>
                  <w:r>
                    <w:rPr>
                      <w:sz w:val="21"/>
                    </w:rPr>
                    <w:t>TOP50企业列表》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val="restart"/>
                  <w:tcBorders>
                    <w:top w:val="none" w:color="000000" w:sz="4"/>
                    <w:left w:val="single" w:color="000000" w:sz="4"/>
                    <w:bottom w:val="single" w:color="000000" w:sz="4"/>
                    <w:right w:val="single" w:color="000000" w:sz="4"/>
                  </w:tcBorders>
                  <w:shd w:fill="FFFFFF"/>
                  <w:vAlign w:val="top"/>
                </w:tcPr>
                <w:p>
                  <w:pPr>
                    <w:jc w:val="center"/>
                  </w:pPr>
                  <w:r>
                    <w:rPr>
                      <w:sz w:val="21"/>
                    </w:rPr>
                    <w:t>行业企业问卷调查与访谈交流</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《面向行业企业管理层的调查问卷》</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《面向行业企业一/线员工的调查问卷》</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《面向行业企业管理层的调查问卷样本》</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40</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《面向行业企业一/线员工的调研问卷样本》</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150</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协会、企业实地访谈交流会议</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4</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《面向行业协会或企业的访谈提纲》</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《面向行业协会或企业的访谈记录》</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4</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其他：访谈会议照片、录音等过程性材料</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val="restart"/>
                  <w:tcBorders>
                    <w:top w:val="none" w:color="000000" w:sz="4"/>
                    <w:left w:val="single" w:color="000000" w:sz="4"/>
                    <w:bottom w:val="single" w:color="000000" w:sz="4"/>
                    <w:right w:val="single" w:color="000000" w:sz="4"/>
                  </w:tcBorders>
                  <w:shd w:fill="FFFFFF"/>
                  <w:vAlign w:val="top"/>
                </w:tcPr>
                <w:p>
                  <w:pPr>
                    <w:jc w:val="center"/>
                  </w:pPr>
                  <w:r>
                    <w:rPr>
                      <w:sz w:val="21"/>
                    </w:rPr>
                    <w:t>院校人才培养现状与供给调研</w:t>
                  </w:r>
                </w:p>
              </w:tc>
              <w:tc>
                <w:tcPr>
                  <w:tcW w:type="dxa" w:w="330"/>
                  <w:vMerge w:val="restart"/>
                  <w:tcBorders>
                    <w:top w:val="none" w:color="000000" w:sz="4"/>
                    <w:left w:val="single" w:color="000000" w:sz="4"/>
                    <w:bottom w:val="single" w:color="000000" w:sz="4"/>
                    <w:right w:val="single" w:color="000000" w:sz="4"/>
                  </w:tcBorders>
                  <w:shd w:fill="FFFFFF"/>
                  <w:vAlign w:val="top"/>
                </w:tcPr>
                <w:p>
                  <w:pPr>
                    <w:jc w:val="center"/>
                  </w:pPr>
                  <w:r>
                    <w:rPr>
                      <w:sz w:val="21"/>
                    </w:rPr>
                    <w:t>同类专业教师问卷调查与访谈交流</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《面向同类院校专业教师的调查问卷》</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《面向同类院校专业教师的调查问卷样本》</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40</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院校访谈交流会议</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《面向同类院校的访谈提纲》</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《面向同类院校的访谈记录》</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其他：访谈会议照片、录音等过程性材料</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val="restart"/>
                  <w:tcBorders>
                    <w:top w:val="none" w:color="000000" w:sz="4"/>
                    <w:left w:val="single" w:color="000000" w:sz="4"/>
                    <w:bottom w:val="single" w:color="000000" w:sz="4"/>
                    <w:right w:val="single" w:color="000000" w:sz="4"/>
                  </w:tcBorders>
                  <w:shd w:fill="FFFFFF"/>
                  <w:vAlign w:val="top"/>
                </w:tcPr>
                <w:p>
                  <w:pPr>
                    <w:jc w:val="center"/>
                  </w:pPr>
                  <w:r>
                    <w:rPr>
                      <w:sz w:val="21"/>
                    </w:rPr>
                    <w:t>本校毕业生问卷</w:t>
                  </w:r>
                </w:p>
                <w:p>
                  <w:pPr>
                    <w:jc w:val="center"/>
                  </w:pPr>
                  <w:r>
                    <w:rPr>
                      <w:sz w:val="21"/>
                    </w:rPr>
                    <w:t>调查</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《面向毕业生的调查问卷》</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《面向毕业生的调查问卷样本》</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400</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val="restart"/>
                  <w:tcBorders>
                    <w:top w:val="none" w:color="000000" w:sz="4"/>
                    <w:left w:val="single" w:color="000000" w:sz="4"/>
                    <w:bottom w:val="single" w:color="000000" w:sz="4"/>
                    <w:right w:val="single" w:color="000000" w:sz="4"/>
                  </w:tcBorders>
                  <w:shd w:fill="FFFFFF"/>
                  <w:vAlign w:val="top"/>
                </w:tcPr>
                <w:p>
                  <w:pPr>
                    <w:jc w:val="center"/>
                  </w:pPr>
                  <w:r>
                    <w:rPr>
                      <w:sz w:val="21"/>
                    </w:rPr>
                    <w:t>本校在校生问卷</w:t>
                  </w:r>
                </w:p>
                <w:p>
                  <w:pPr>
                    <w:jc w:val="center"/>
                  </w:pPr>
                  <w:r>
                    <w:rPr>
                      <w:sz w:val="21"/>
                    </w:rPr>
                    <w:t>调查</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《面向在校生的调查问卷》</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426"/>
                  <w:vMerge/>
                  <w:tcBorders>
                    <w:top w:val="none" w:color="000000" w:sz="4"/>
                    <w:left w:val="single" w:color="000000" w:sz="4"/>
                    <w:bottom w:val="single" w:color="000000" w:sz="4"/>
                    <w:right w:val="single" w:color="000000" w:sz="4"/>
                  </w:tcBorders>
                </w:tcPr>
                <w:p/>
              </w:tc>
              <w:tc>
                <w:tcPr>
                  <w:tcW w:type="dxa" w:w="330"/>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《面向在校生的调查问卷样本》</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400</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tcBorders>
                    <w:top w:val="none" w:color="000000" w:sz="4"/>
                    <w:left w:val="single" w:color="000000" w:sz="4"/>
                    <w:bottom w:val="single" w:color="000000" w:sz="4"/>
                    <w:right w:val="single" w:color="000000" w:sz="4"/>
                  </w:tcBorders>
                  <w:shd w:fill="FFFFFF"/>
                  <w:vAlign w:val="top"/>
                </w:tcPr>
                <w:p>
                  <w:pPr>
                    <w:jc w:val="center"/>
                  </w:pPr>
                  <w:r>
                    <w:rPr>
                      <w:sz w:val="21"/>
                    </w:rPr>
                    <w:t>文献研究</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《参考文献汇总》包括：相关政策、产业行业报告、学术论文等。</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tcBorders>
                    <w:top w:val="none" w:color="000000" w:sz="4"/>
                    <w:left w:val="single" w:color="000000" w:sz="4"/>
                    <w:bottom w:val="single" w:color="000000" w:sz="4"/>
                    <w:right w:val="single" w:color="000000" w:sz="4"/>
                  </w:tcBorders>
                  <w:shd w:fill="FFFFFF"/>
                  <w:vAlign w:val="top"/>
                </w:tcPr>
                <w:p>
                  <w:pPr>
                    <w:jc w:val="center"/>
                  </w:pPr>
                  <w:r>
                    <w:rPr>
                      <w:sz w:val="21"/>
                    </w:rPr>
                    <w:t>报告撰写</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《专业群多维调研与分析报告》</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val="restart"/>
                  <w:tcBorders>
                    <w:top w:val="none" w:color="000000" w:sz="4"/>
                    <w:left w:val="single" w:color="000000" w:sz="4"/>
                    <w:bottom w:val="single" w:color="000000" w:sz="4"/>
                    <w:right w:val="single" w:color="000000" w:sz="4"/>
                  </w:tcBorders>
                  <w:shd w:fill="FFFFFF"/>
                  <w:vAlign w:val="top"/>
                </w:tcPr>
                <w:p>
                  <w:pPr>
                    <w:jc w:val="center"/>
                  </w:pPr>
                  <w:r>
                    <w:rPr>
                      <w:sz w:val="21"/>
                    </w:rPr>
                    <w:t>岗位群职业能力分析</w:t>
                  </w:r>
                </w:p>
              </w:tc>
              <w:tc>
                <w:tcPr>
                  <w:tcW w:type="dxa" w:w="756"/>
                  <w:gridSpan w:val="2"/>
                  <w:vMerge w:val="restart"/>
                  <w:tcBorders>
                    <w:top w:val="none" w:color="000000" w:sz="4"/>
                    <w:left w:val="single" w:color="000000" w:sz="4"/>
                    <w:bottom w:val="single" w:color="000000" w:sz="4"/>
                    <w:right w:val="single" w:color="000000" w:sz="4"/>
                  </w:tcBorders>
                  <w:shd w:fill="FFFFFF"/>
                  <w:vAlign w:val="top"/>
                </w:tcPr>
                <w:p>
                  <w:pPr>
                    <w:jc w:val="center"/>
                  </w:pPr>
                  <w:r>
                    <w:rPr>
                      <w:sz w:val="21"/>
                    </w:rPr>
                    <w:t>企业实践专家研讨会议准备</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《岗位群职业能力分析企业实践专家研讨会议资料》（议程、参会人员等）</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《专家主持人简历表》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《企业实践专家简历表》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9</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val="restart"/>
                  <w:tcBorders>
                    <w:top w:val="none" w:color="000000" w:sz="4"/>
                    <w:left w:val="single" w:color="000000" w:sz="4"/>
                    <w:bottom w:val="single" w:color="000000" w:sz="4"/>
                    <w:right w:val="single" w:color="000000" w:sz="4"/>
                  </w:tcBorders>
                  <w:shd w:fill="FFFFFF"/>
                  <w:vAlign w:val="top"/>
                </w:tcPr>
                <w:p>
                  <w:pPr>
                    <w:jc w:val="center"/>
                  </w:pPr>
                  <w:r>
                    <w:rPr>
                      <w:sz w:val="21"/>
                    </w:rPr>
                    <w:t>企业实践专家研讨会议召开</w:t>
                  </w: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召开岗位群职业能力分析企业实践专家研讨会议</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场次</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职业能力分析岗位数</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个</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6-10</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《岗位群职业生涯路径表》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《岗位群典型工作任务列表》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《岗位群职业能力分析表》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《岗位群职业能力分析报告》</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both"/>
                  </w:pPr>
                  <w:r>
                    <w:rPr>
                      <w:sz w:val="21"/>
                    </w:rPr>
                    <w:t>其他：研讨会议照片、录音、签到表等过程性材料</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val="restart"/>
                  <w:tcBorders>
                    <w:top w:val="none" w:color="000000" w:sz="4"/>
                    <w:left w:val="single" w:color="000000" w:sz="4"/>
                    <w:bottom w:val="single" w:color="000000" w:sz="4"/>
                    <w:right w:val="single" w:color="000000" w:sz="4"/>
                  </w:tcBorders>
                  <w:shd w:fill="FFFFFF"/>
                  <w:vAlign w:val="top"/>
                </w:tcPr>
                <w:p>
                  <w:pPr>
                    <w:jc w:val="center"/>
                  </w:pPr>
                  <w:r>
                    <w:rPr>
                      <w:sz w:val="21"/>
                    </w:rPr>
                    <w:t>专业群课程体系构建</w:t>
                  </w:r>
                </w:p>
              </w:tc>
              <w:tc>
                <w:tcPr>
                  <w:tcW w:type="dxa" w:w="756"/>
                  <w:gridSpan w:val="2"/>
                  <w:vMerge w:val="restart"/>
                  <w:tcBorders>
                    <w:top w:val="none" w:color="000000" w:sz="4"/>
                    <w:left w:val="single" w:color="000000" w:sz="4"/>
                    <w:bottom w:val="single" w:color="000000" w:sz="4"/>
                    <w:right w:val="single" w:color="000000" w:sz="4"/>
                  </w:tcBorders>
                  <w:shd w:fill="FFFFFF"/>
                  <w:vAlign w:val="top"/>
                </w:tcPr>
                <w:p>
                  <w:pPr>
                    <w:jc w:val="center"/>
                  </w:pPr>
                  <w:r>
                    <w:rPr>
                      <w:sz w:val="21"/>
                    </w:rPr>
                    <w:t>课程专家研讨会议准备</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《专业群课程体系构建专家研讨会议资料》（议程、参会人员等）</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《专家群主持人简历表》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《课程专家简历表》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6</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val="restart"/>
                  <w:tcBorders>
                    <w:top w:val="none" w:color="000000" w:sz="4"/>
                    <w:left w:val="single" w:color="000000" w:sz="4"/>
                    <w:bottom w:val="single" w:color="000000" w:sz="4"/>
                    <w:right w:val="single" w:color="000000" w:sz="4"/>
                  </w:tcBorders>
                  <w:shd w:fill="FFFFFF"/>
                  <w:vAlign w:val="top"/>
                </w:tcPr>
                <w:p>
                  <w:pPr>
                    <w:jc w:val="center"/>
                  </w:pPr>
                  <w:r>
                    <w:rPr>
                      <w:sz w:val="21"/>
                    </w:rPr>
                    <w:t>课程专家研讨会议召开</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召开专业群课程体系构建专家研讨会议</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场次</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《专业群培养目标》</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《专业培养目标》</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《专业群课程结构表》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《专业群课程与能力对接表》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《专业群课程体系及要求报告》</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其他：会议照片、录音、签到表等过程性材料</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val="restart"/>
                  <w:tcBorders>
                    <w:top w:val="none" w:color="000000" w:sz="4"/>
                    <w:left w:val="single" w:color="000000" w:sz="4"/>
                    <w:bottom w:val="single" w:color="000000" w:sz="4"/>
                    <w:right w:val="single" w:color="000000" w:sz="4"/>
                  </w:tcBorders>
                  <w:shd w:fill="FFFFFF"/>
                  <w:vAlign w:val="top"/>
                </w:tcPr>
                <w:p>
                  <w:pPr>
                    <w:jc w:val="center"/>
                  </w:pPr>
                  <w:r>
                    <w:rPr>
                      <w:sz w:val="21"/>
                    </w:rPr>
                    <w:t>岗位标准开发</w:t>
                  </w:r>
                </w:p>
                <w:p>
                  <w:pPr>
                    <w:jc w:val="center"/>
                  </w:pPr>
                  <w:r>
                    <w:rPr>
                      <w:sz w:val="21"/>
                    </w:rPr>
                    <w:t>【按照每个专业开发</w:t>
                  </w:r>
                  <w:r>
                    <w:rPr>
                      <w:sz w:val="21"/>
                    </w:rPr>
                    <w:t>1个岗位标准】</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《岗位标准体例框架与要求表》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《岗位标准》</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3</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val="restart"/>
                  <w:tcBorders>
                    <w:top w:val="none" w:color="000000" w:sz="4"/>
                    <w:left w:val="single" w:color="000000" w:sz="4"/>
                    <w:bottom w:val="single" w:color="000000" w:sz="4"/>
                    <w:right w:val="single" w:color="000000" w:sz="4"/>
                  </w:tcBorders>
                  <w:shd w:fill="FFFFFF"/>
                  <w:vAlign w:val="top"/>
                </w:tcPr>
                <w:p>
                  <w:pPr>
                    <w:jc w:val="center"/>
                  </w:pPr>
                  <w:r>
                    <w:rPr>
                      <w:sz w:val="21"/>
                    </w:rPr>
                    <w:t>课程标准编制</w:t>
                  </w:r>
                </w:p>
                <w:p>
                  <w:pPr>
                    <w:jc w:val="center"/>
                  </w:pPr>
                  <w:r>
                    <w:rPr>
                      <w:sz w:val="21"/>
                    </w:rPr>
                    <w:t>【共计开发</w:t>
                  </w:r>
                  <w:r>
                    <w:rPr>
                      <w:sz w:val="21"/>
                    </w:rPr>
                    <w:t>24门专业群核心课程标准】</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《课程标准体例框架与要求表》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《课程标准》</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24</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val="restart"/>
                  <w:tcBorders>
                    <w:top w:val="none" w:color="000000" w:sz="4"/>
                    <w:left w:val="single" w:color="000000" w:sz="4"/>
                    <w:bottom w:val="single" w:color="000000" w:sz="4"/>
                    <w:right w:val="single" w:color="000000" w:sz="4"/>
                  </w:tcBorders>
                  <w:shd w:fill="FFFFFF"/>
                  <w:vAlign w:val="top"/>
                </w:tcPr>
                <w:p>
                  <w:pPr>
                    <w:jc w:val="center"/>
                  </w:pPr>
                  <w:r>
                    <w:rPr>
                      <w:sz w:val="21"/>
                    </w:rPr>
                    <w:t>人才培养方案编制</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《专业群人才培养方案》</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《专业人才培养方案》</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val="restart"/>
                  <w:tcBorders>
                    <w:top w:val="none" w:color="000000" w:sz="4"/>
                    <w:left w:val="single" w:color="000000" w:sz="4"/>
                    <w:bottom w:val="single" w:color="000000" w:sz="4"/>
                    <w:right w:val="single" w:color="000000" w:sz="4"/>
                  </w:tcBorders>
                  <w:shd w:fill="FFFFFF"/>
                  <w:vAlign w:val="top"/>
                </w:tcPr>
                <w:p>
                  <w:pPr>
                    <w:jc w:val="center"/>
                  </w:pPr>
                  <w:r>
                    <w:rPr>
                      <w:sz w:val="21"/>
                    </w:rPr>
                    <w:t>专业群标准论证</w:t>
                  </w:r>
                </w:p>
              </w:tc>
              <w:tc>
                <w:tcPr>
                  <w:tcW w:type="dxa" w:w="756"/>
                  <w:gridSpan w:val="2"/>
                  <w:vMerge w:val="restart"/>
                  <w:tcBorders>
                    <w:top w:val="none" w:color="000000" w:sz="4"/>
                    <w:left w:val="single" w:color="000000" w:sz="4"/>
                    <w:bottom w:val="single" w:color="000000" w:sz="4"/>
                    <w:right w:val="single" w:color="000000" w:sz="4"/>
                  </w:tcBorders>
                  <w:shd w:fill="FFFFFF"/>
                  <w:vAlign w:val="top"/>
                </w:tcPr>
                <w:p>
                  <w:pPr>
                    <w:jc w:val="center"/>
                  </w:pPr>
                  <w:r>
                    <w:rPr>
                      <w:sz w:val="21"/>
                    </w:rPr>
                    <w:t>专家论证会议准备</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《专业群标准专家论证会议资料》</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singl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《论证专家简历表》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5</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val="restart"/>
                  <w:tcBorders>
                    <w:top w:val="none" w:color="000000" w:sz="4"/>
                    <w:left w:val="single" w:color="000000" w:sz="4"/>
                    <w:bottom w:val="single" w:color="000000" w:sz="4"/>
                    <w:right w:val="single" w:color="000000" w:sz="4"/>
                  </w:tcBorders>
                  <w:shd w:fill="FFFFFF"/>
                  <w:vAlign w:val="top"/>
                </w:tcPr>
                <w:p>
                  <w:pPr>
                    <w:jc w:val="center"/>
                  </w:pPr>
                  <w:r>
                    <w:rPr>
                      <w:sz w:val="21"/>
                    </w:rPr>
                    <w:t>专家论证会议召开</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召开专业群标准论证会议</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场</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成立专业群建设指导委员会</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《人才培养方案专家评审意见表》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《岗位标准专家评审意见表》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《课程标准专家评审意见表》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《专业群标准专家论证报告》</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263"/>
                  <w:vMerge/>
                  <w:tcBorders>
                    <w:top w:val="none" w:color="000000" w:sz="4"/>
                    <w:left w:val="single" w:color="000000" w:sz="4"/>
                    <w:bottom w:val="single" w:color="000000" w:sz="4"/>
                    <w:right w:val="single" w:color="000000" w:sz="4"/>
                  </w:tcBorders>
                </w:tcPr>
                <w:p/>
              </w:tc>
              <w:tc>
                <w:tcPr>
                  <w:tcW w:type="dxa" w:w="756"/>
                  <w:gridSpan w:val="2"/>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其他：会议照片、录音、签到表等过程性材料</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套</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val="restart"/>
                  <w:tcBorders>
                    <w:top w:val="none" w:color="000000" w:sz="4"/>
                    <w:left w:val="single" w:color="000000" w:sz="4"/>
                    <w:bottom w:val="single" w:color="000000" w:sz="4"/>
                    <w:right w:val="single" w:color="000000" w:sz="4"/>
                  </w:tcBorders>
                  <w:shd w:fill="FFFFFF"/>
                  <w:vAlign w:val="top"/>
                </w:tcPr>
                <w:p>
                  <w:pPr>
                    <w:jc w:val="center"/>
                  </w:pPr>
                  <w:r>
                    <w:rPr>
                      <w:sz w:val="21"/>
                    </w:rPr>
                    <w:t>3</w:t>
                  </w:r>
                </w:p>
              </w:tc>
              <w:tc>
                <w:tcPr>
                  <w:tcW w:type="dxa" w:w="744"/>
                  <w:vMerge w:val="restart"/>
                  <w:tcBorders>
                    <w:top w:val="none" w:color="000000" w:sz="4"/>
                    <w:left w:val="single" w:color="000000" w:sz="4"/>
                    <w:bottom w:val="single" w:color="000000" w:sz="4"/>
                    <w:right w:val="single" w:color="000000" w:sz="4"/>
                  </w:tcBorders>
                  <w:shd w:fill="FFFFFF"/>
                  <w:vAlign w:val="top"/>
                </w:tcPr>
                <w:p>
                  <w:pPr>
                    <w:jc w:val="center"/>
                  </w:pPr>
                  <w:r>
                    <w:rPr>
                      <w:b/>
                      <w:sz w:val="21"/>
                    </w:rPr>
                    <w:t>专业群教学资源库建设</w:t>
                  </w:r>
                </w:p>
              </w:tc>
              <w:tc>
                <w:tcPr>
                  <w:tcW w:type="dxa" w:w="1019"/>
                  <w:gridSpan w:val="3"/>
                  <w:vMerge w:val="restart"/>
                  <w:tcBorders>
                    <w:top w:val="none" w:color="000000" w:sz="4"/>
                    <w:left w:val="single" w:color="000000" w:sz="4"/>
                    <w:bottom w:val="single" w:color="000000" w:sz="4"/>
                    <w:right w:val="single" w:color="000000" w:sz="4"/>
                  </w:tcBorders>
                  <w:shd w:fill="FFFFFF"/>
                  <w:vAlign w:val="top"/>
                </w:tcPr>
                <w:p>
                  <w:pPr>
                    <w:jc w:val="center"/>
                  </w:pPr>
                  <w:r>
                    <w:rPr>
                      <w:sz w:val="21"/>
                    </w:rPr>
                    <w:t>新型活页式教材开发（校本）</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《校本教材体例框架与要求表》</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《校本教材》</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份</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2</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val="restart"/>
                  <w:tcBorders>
                    <w:top w:val="none" w:color="000000" w:sz="4"/>
                    <w:left w:val="single" w:color="000000" w:sz="4"/>
                    <w:bottom w:val="single" w:color="000000" w:sz="4"/>
                    <w:right w:val="single" w:color="000000" w:sz="4"/>
                  </w:tcBorders>
                  <w:shd w:fill="FFFFFF"/>
                  <w:vAlign w:val="top"/>
                </w:tcPr>
                <w:p>
                  <w:pPr>
                    <w:jc w:val="center"/>
                  </w:pPr>
                  <w:r>
                    <w:rPr>
                      <w:sz w:val="21"/>
                    </w:rPr>
                    <w:t>专业群教学资源库信息化平台搭建</w:t>
                  </w: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专业群教学资源库信息化平台部署</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专业群教学资源库信息化平台操作培训会议</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r>
              <w:tc>
                <w:tcPr>
                  <w:tcW w:type="dxa" w:w="245"/>
                  <w:vMerge/>
                  <w:tcBorders>
                    <w:top w:val="none" w:color="000000" w:sz="4"/>
                    <w:left w:val="single" w:color="000000" w:sz="4"/>
                    <w:bottom w:val="single" w:color="000000" w:sz="4"/>
                    <w:right w:val="single" w:color="000000" w:sz="4"/>
                  </w:tcBorders>
                </w:tcPr>
                <w:p/>
              </w:tc>
              <w:tc>
                <w:tcPr>
                  <w:tcW w:type="dxa" w:w="744"/>
                  <w:vMerge/>
                  <w:tcBorders>
                    <w:top w:val="none" w:color="000000" w:sz="4"/>
                    <w:left w:val="single" w:color="000000" w:sz="4"/>
                    <w:bottom w:val="single" w:color="000000" w:sz="4"/>
                    <w:right w:val="single" w:color="000000" w:sz="4"/>
                  </w:tcBorders>
                </w:tcPr>
                <w:p/>
              </w:tc>
              <w:tc>
                <w:tcPr>
                  <w:tcW w:type="dxa" w:w="1019"/>
                  <w:gridSpan w:val="3"/>
                  <w:vMerge/>
                  <w:tcBorders>
                    <w:top w:val="none" w:color="000000" w:sz="4"/>
                    <w:left w:val="single" w:color="000000" w:sz="4"/>
                    <w:bottom w:val="single" w:color="000000" w:sz="4"/>
                    <w:right w:val="single" w:color="000000" w:sz="4"/>
                  </w:tcBorders>
                </w:tcPr>
                <w:p/>
              </w:tc>
              <w:tc>
                <w:tcPr>
                  <w:tcW w:type="dxa" w:w="2863"/>
                  <w:tcBorders>
                    <w:top w:val="none" w:color="000000" w:sz="4"/>
                    <w:left w:val="single" w:color="000000" w:sz="4"/>
                    <w:bottom w:val="single" w:color="000000" w:sz="4"/>
                    <w:right w:val="single" w:color="000000" w:sz="4"/>
                  </w:tcBorders>
                  <w:shd w:fill="FFFFFF"/>
                  <w:vAlign w:val="top"/>
                </w:tcPr>
                <w:p>
                  <w:pPr>
                    <w:jc w:val="left"/>
                  </w:pPr>
                  <w:r>
                    <w:rPr>
                      <w:sz w:val="21"/>
                    </w:rPr>
                    <w:t>专业群教学资源库信息化平台使用说明书</w:t>
                  </w:r>
                </w:p>
              </w:tc>
              <w:tc>
                <w:tcPr>
                  <w:tcW w:type="dxa" w:w="368"/>
                  <w:tcBorders>
                    <w:top w:val="none" w:color="000000" w:sz="4"/>
                    <w:left w:val="single" w:color="000000" w:sz="4"/>
                    <w:bottom w:val="single" w:color="000000" w:sz="4"/>
                    <w:right w:val="single" w:color="000000" w:sz="4"/>
                  </w:tcBorders>
                  <w:shd w:fill="FFFFFF"/>
                  <w:vAlign w:val="top"/>
                </w:tcPr>
                <w:p>
                  <w:pPr>
                    <w:jc w:val="center"/>
                  </w:pPr>
                  <w:r>
                    <w:rPr>
                      <w:sz w:val="21"/>
                    </w:rPr>
                    <w:t>项</w:t>
                  </w:r>
                </w:p>
              </w:tc>
              <w:tc>
                <w:tcPr>
                  <w:tcW w:type="dxa" w:w="356"/>
                  <w:tcBorders>
                    <w:top w:val="none" w:color="000000" w:sz="4"/>
                    <w:left w:val="single" w:color="000000" w:sz="4"/>
                    <w:bottom w:val="single" w:color="000000" w:sz="4"/>
                    <w:right w:val="single" w:color="000000" w:sz="4"/>
                  </w:tcBorders>
                  <w:shd w:fill="FFFFFF"/>
                  <w:vAlign w:val="top"/>
                </w:tcPr>
                <w:p>
                  <w:pPr>
                    <w:jc w:val="center"/>
                  </w:pPr>
                  <w:r>
                    <w:rPr>
                      <w:sz w:val="21"/>
                    </w:rPr>
                    <w:t>1</w:t>
                  </w:r>
                </w:p>
              </w:tc>
            </w:tr>
          </w:tbl>
          <w:p>
            <w:pPr>
              <w:jc w:val="both"/>
            </w:pPr>
            <w:r>
              <w:rPr>
                <w:b/>
                <w:sz w:val="24"/>
              </w:rPr>
              <w:t>3、工艺美术双精准示范专业建设</w:t>
            </w:r>
          </w:p>
          <w:tbl>
            <w:tblPr>
              <w:tblBorders>
                <w:top w:val="none" w:color="000000" w:sz="4"/>
                <w:left w:val="none" w:color="000000" w:sz="4"/>
                <w:bottom w:val="none" w:color="000000" w:sz="4"/>
                <w:right w:val="none" w:color="000000" w:sz="4"/>
                <w:insideH w:val="none"/>
                <w:insideV w:val="none"/>
              </w:tblBorders>
            </w:tblPr>
            <w:tblGrid>
              <w:gridCol w:w="278"/>
              <w:gridCol w:w="379"/>
              <w:gridCol w:w="4242"/>
              <w:gridCol w:w="316"/>
              <w:gridCol w:w="384"/>
            </w:tblGrid>
            <w:tr>
              <w:tc>
                <w:tcPr>
                  <w:tcW w:type="dxa" w:w="5599"/>
                  <w:gridSpan w:val="5"/>
                  <w:tcBorders>
                    <w:top w:val="single" w:color="000000" w:sz="4"/>
                    <w:left w:val="single" w:color="000000" w:sz="4"/>
                    <w:bottom w:val="single" w:color="000000" w:sz="4"/>
                    <w:right w:val="single" w:color="000000" w:sz="4"/>
                  </w:tcBorders>
                  <w:vAlign w:val="top"/>
                </w:tcPr>
                <w:p>
                  <w:pPr>
                    <w:jc w:val="left"/>
                  </w:pPr>
                  <w:r>
                    <w:rPr>
                      <w:b/>
                      <w:sz w:val="21"/>
                    </w:rPr>
                    <w:t>一、工艺美术</w:t>
                  </w:r>
                  <w:r>
                    <w:rPr>
                      <w:b/>
                      <w:sz w:val="21"/>
                    </w:rPr>
                    <w:t>216设计工作室</w:t>
                  </w:r>
                </w:p>
              </w:tc>
            </w:tr>
            <w:tr>
              <w:tc>
                <w:tcPr>
                  <w:tcW w:type="dxa" w:w="278"/>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379"/>
                  <w:tcBorders>
                    <w:top w:val="single" w:color="000000" w:sz="4"/>
                    <w:left w:val="single" w:color="000000" w:sz="4"/>
                    <w:bottom w:val="single" w:color="000000" w:sz="4"/>
                    <w:right w:val="single" w:color="000000" w:sz="4"/>
                  </w:tcBorders>
                  <w:vAlign w:val="top"/>
                </w:tcPr>
                <w:p>
                  <w:pPr>
                    <w:jc w:val="center"/>
                  </w:pPr>
                  <w:r>
                    <w:rPr>
                      <w:b/>
                      <w:sz w:val="21"/>
                    </w:rPr>
                    <w:t>名称</w:t>
                  </w:r>
                </w:p>
              </w:tc>
              <w:tc>
                <w:tcPr>
                  <w:tcW w:type="dxa" w:w="4242"/>
                  <w:tcBorders>
                    <w:top w:val="single" w:color="000000" w:sz="4"/>
                    <w:left w:val="single" w:color="000000" w:sz="4"/>
                    <w:bottom w:val="single" w:color="000000" w:sz="4"/>
                    <w:right w:val="single" w:color="000000" w:sz="4"/>
                  </w:tcBorders>
                  <w:vAlign w:val="top"/>
                </w:tcPr>
                <w:p>
                  <w:pPr>
                    <w:jc w:val="center"/>
                  </w:pPr>
                  <w:r>
                    <w:rPr>
                      <w:b/>
                      <w:sz w:val="21"/>
                    </w:rPr>
                    <w:t>参数要求</w:t>
                  </w:r>
                </w:p>
              </w:tc>
              <w:tc>
                <w:tcPr>
                  <w:tcW w:type="dxa" w:w="316"/>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384"/>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278"/>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379"/>
                  <w:tcBorders>
                    <w:top w:val="none" w:color="000000" w:sz="4"/>
                    <w:left w:val="single" w:color="000000" w:sz="4"/>
                    <w:bottom w:val="single" w:color="000000" w:sz="4"/>
                    <w:right w:val="single" w:color="000000" w:sz="4"/>
                  </w:tcBorders>
                  <w:vAlign w:val="top"/>
                </w:tcPr>
                <w:p>
                  <w:pPr>
                    <w:jc w:val="center"/>
                  </w:pPr>
                  <w:r>
                    <w:rPr>
                      <w:sz w:val="21"/>
                    </w:rPr>
                    <w:t>图形工作站</w:t>
                  </w:r>
                </w:p>
              </w:tc>
              <w:tc>
                <w:tcPr>
                  <w:tcW w:type="dxa" w:w="4242"/>
                  <w:tcBorders>
                    <w:top w:val="none" w:color="000000" w:sz="4"/>
                    <w:left w:val="single" w:color="000000" w:sz="4"/>
                    <w:bottom w:val="single" w:color="000000" w:sz="4"/>
                    <w:right w:val="single" w:color="000000" w:sz="4"/>
                  </w:tcBorders>
                  <w:vAlign w:val="top"/>
                </w:tcPr>
                <w:p>
                  <w:pPr>
                    <w:jc w:val="left"/>
                  </w:pPr>
                  <w:r>
                    <w:rPr>
                      <w:sz w:val="21"/>
                    </w:rPr>
                    <w:t>★</w:t>
                  </w:r>
                  <w:r>
                    <w:rPr>
                      <w:sz w:val="21"/>
                    </w:rPr>
                    <w:t>1.1</w:t>
                  </w:r>
                  <w:r>
                    <w:rPr>
                      <w:sz w:val="21"/>
                    </w:rPr>
                    <w:t>、</w:t>
                  </w:r>
                  <w:r>
                    <w:rPr>
                      <w:sz w:val="21"/>
                    </w:rPr>
                    <w:t>相当或优于十代</w:t>
                  </w:r>
                  <w:r>
                    <w:rPr>
                      <w:sz w:val="21"/>
                    </w:rPr>
                    <w:t>Intel i7</w:t>
                  </w:r>
                  <w:r>
                    <w:rPr>
                      <w:sz w:val="21"/>
                    </w:rPr>
                    <w:t>处理器</w:t>
                  </w:r>
                  <w:r>
                    <w:rPr>
                      <w:sz w:val="21"/>
                    </w:rPr>
                    <w:t>,16M</w:t>
                  </w:r>
                  <w:r>
                    <w:rPr>
                      <w:sz w:val="21"/>
                    </w:rPr>
                    <w:t>高速缓存缓存，</w:t>
                  </w:r>
                  <w:r>
                    <w:rPr>
                      <w:sz w:val="21"/>
                    </w:rPr>
                    <w:t>8</w:t>
                  </w:r>
                  <w:r>
                    <w:rPr>
                      <w:sz w:val="21"/>
                    </w:rPr>
                    <w:t>核</w:t>
                  </w:r>
                </w:p>
                <w:p>
                  <w:pPr>
                    <w:jc w:val="left"/>
                  </w:pPr>
                  <w:r>
                    <w:rPr>
                      <w:sz w:val="21"/>
                    </w:rPr>
                    <w:t>▲</w:t>
                  </w:r>
                  <w:r>
                    <w:rPr>
                      <w:sz w:val="21"/>
                    </w:rPr>
                    <w:t>1.2</w:t>
                  </w:r>
                  <w:r>
                    <w:rPr>
                      <w:sz w:val="21"/>
                    </w:rPr>
                    <w:t>、主板</w:t>
                  </w:r>
                  <w:r>
                    <w:rPr>
                      <w:sz w:val="21"/>
                    </w:rPr>
                    <w:t>:</w:t>
                  </w:r>
                  <w:r>
                    <w:rPr>
                      <w:sz w:val="21"/>
                    </w:rPr>
                    <w:t>相当或优于英特尔</w:t>
                  </w:r>
                  <w:r>
                    <w:rPr>
                      <w:sz w:val="21"/>
                    </w:rPr>
                    <w:t>® W480</w:t>
                  </w:r>
                  <w:r>
                    <w:rPr>
                      <w:sz w:val="21"/>
                    </w:rPr>
                    <w:t>芯片组</w:t>
                  </w:r>
                </w:p>
                <w:p>
                  <w:pPr>
                    <w:jc w:val="left"/>
                  </w:pPr>
                  <w:r>
                    <w:rPr>
                      <w:sz w:val="21"/>
                    </w:rPr>
                    <w:t>1.3</w:t>
                  </w:r>
                  <w:r>
                    <w:rPr>
                      <w:sz w:val="21"/>
                    </w:rPr>
                    <w:t>、最高可配</w:t>
                  </w:r>
                  <w:r>
                    <w:rPr>
                      <w:sz w:val="21"/>
                    </w:rPr>
                    <w:t>4</w:t>
                  </w:r>
                  <w:r>
                    <w:rPr>
                      <w:sz w:val="21"/>
                    </w:rPr>
                    <w:t>个</w:t>
                  </w:r>
                  <w:r>
                    <w:rPr>
                      <w:sz w:val="21"/>
                    </w:rPr>
                    <w:t>2.5</w:t>
                  </w:r>
                  <w:r>
                    <w:rPr>
                      <w:sz w:val="21"/>
                    </w:rPr>
                    <w:t>英寸或者</w:t>
                  </w:r>
                  <w:r>
                    <w:rPr>
                      <w:sz w:val="21"/>
                    </w:rPr>
                    <w:t>3</w:t>
                  </w:r>
                  <w:r>
                    <w:rPr>
                      <w:sz w:val="21"/>
                    </w:rPr>
                    <w:t>个</w:t>
                  </w:r>
                  <w:r>
                    <w:rPr>
                      <w:sz w:val="21"/>
                    </w:rPr>
                    <w:t>3.5</w:t>
                  </w:r>
                  <w:r>
                    <w:rPr>
                      <w:sz w:val="21"/>
                    </w:rPr>
                    <w:t>英寸，</w:t>
                  </w:r>
                  <w:r>
                    <w:rPr>
                      <w:sz w:val="21"/>
                    </w:rPr>
                    <w:t>2</w:t>
                  </w:r>
                  <w:r>
                    <w:rPr>
                      <w:sz w:val="21"/>
                    </w:rPr>
                    <w:t>个</w:t>
                  </w:r>
                  <w:r>
                    <w:rPr>
                      <w:sz w:val="21"/>
                    </w:rPr>
                    <w:t>M.2 SSD</w:t>
                  </w:r>
                  <w:r>
                    <w:rPr>
                      <w:sz w:val="21"/>
                    </w:rPr>
                    <w:t>插槽</w:t>
                  </w:r>
                </w:p>
                <w:p>
                  <w:pPr>
                    <w:jc w:val="left"/>
                  </w:pPr>
                  <w:r>
                    <w:rPr>
                      <w:sz w:val="21"/>
                    </w:rPr>
                    <w:t>可支持一个超高速驱动器（</w:t>
                  </w:r>
                  <w:r>
                    <w:rPr>
                      <w:sz w:val="21"/>
                    </w:rPr>
                    <w:t>x8</w:t>
                  </w:r>
                  <w:r>
                    <w:rPr>
                      <w:sz w:val="21"/>
                    </w:rPr>
                    <w:t>）的</w:t>
                  </w:r>
                  <w:r>
                    <w:rPr>
                      <w:sz w:val="21"/>
                    </w:rPr>
                    <w:t>PCI-e</w:t>
                  </w:r>
                  <w:r>
                    <w:rPr>
                      <w:sz w:val="21"/>
                    </w:rPr>
                    <w:t>硬盘，本次配置</w:t>
                  </w:r>
                  <w:r>
                    <w:rPr>
                      <w:sz w:val="21"/>
                    </w:rPr>
                    <w:t>1</w:t>
                  </w:r>
                  <w:r>
                    <w:rPr>
                      <w:sz w:val="21"/>
                    </w:rPr>
                    <w:t>块</w:t>
                  </w:r>
                  <w:r>
                    <w:rPr>
                      <w:sz w:val="21"/>
                    </w:rPr>
                    <w:t>3.5</w:t>
                  </w:r>
                  <w:r>
                    <w:rPr>
                      <w:sz w:val="21"/>
                    </w:rPr>
                    <w:t>英寸</w:t>
                  </w:r>
                  <w:r>
                    <w:rPr>
                      <w:sz w:val="21"/>
                    </w:rPr>
                    <w:t>1TB 7200rpm SATA +256G SSD</w:t>
                  </w:r>
                  <w:r>
                    <w:rPr>
                      <w:sz w:val="21"/>
                    </w:rPr>
                    <w:t>硬盘或优于</w:t>
                  </w:r>
                </w:p>
                <w:p>
                  <w:pPr>
                    <w:jc w:val="left"/>
                  </w:pPr>
                  <w:r>
                    <w:rPr>
                      <w:sz w:val="21"/>
                    </w:rPr>
                    <w:t>▲</w:t>
                  </w:r>
                  <w:r>
                    <w:rPr>
                      <w:sz w:val="21"/>
                    </w:rPr>
                    <w:t>1.4</w:t>
                  </w:r>
                  <w:r>
                    <w:rPr>
                      <w:sz w:val="21"/>
                    </w:rPr>
                    <w:t>、内存：</w:t>
                  </w:r>
                  <w:r>
                    <w:rPr>
                      <w:sz w:val="21"/>
                    </w:rPr>
                    <w:t>≥</w:t>
                  </w:r>
                  <w:r>
                    <w:rPr>
                      <w:sz w:val="21"/>
                    </w:rPr>
                    <w:t>16G</w:t>
                  </w:r>
                  <w:r>
                    <w:rPr>
                      <w:sz w:val="21"/>
                    </w:rPr>
                    <w:t xml:space="preserve"> </w:t>
                  </w:r>
                  <w:r>
                    <w:rPr>
                      <w:sz w:val="21"/>
                    </w:rPr>
                    <w:t>DDR4 2933MHz</w:t>
                  </w:r>
                  <w:r>
                    <w:rPr>
                      <w:sz w:val="21"/>
                    </w:rPr>
                    <w:t>，可支持内存硬件防错技术，标记坏死扇区，通过重启移除故障延长使用寿命。（</w:t>
                  </w:r>
                  <w:r>
                    <w:rPr>
                      <w:sz w:val="21"/>
                    </w:rPr>
                    <w:t>提供相关证明材料</w:t>
                  </w:r>
                  <w:r>
                    <w:rPr>
                      <w:sz w:val="21"/>
                    </w:rPr>
                    <w:t>）</w:t>
                  </w:r>
                </w:p>
                <w:p>
                  <w:pPr>
                    <w:jc w:val="left"/>
                  </w:pPr>
                  <w:r>
                    <w:rPr>
                      <w:sz w:val="21"/>
                    </w:rPr>
                    <w:t>★</w:t>
                  </w:r>
                  <w:r>
                    <w:rPr>
                      <w:sz w:val="21"/>
                    </w:rPr>
                    <w:t>1.5</w:t>
                  </w:r>
                  <w:r>
                    <w:rPr>
                      <w:sz w:val="21"/>
                    </w:rPr>
                    <w:t>、专业显卡：</w:t>
                  </w:r>
                  <w:r>
                    <w:rPr>
                      <w:sz w:val="21"/>
                    </w:rPr>
                    <w:t>≥</w:t>
                  </w:r>
                  <w:r>
                    <w:rPr>
                      <w:sz w:val="21"/>
                    </w:rPr>
                    <w:t>4GB</w:t>
                  </w:r>
                  <w:r>
                    <w:rPr>
                      <w:sz w:val="21"/>
                    </w:rPr>
                    <w:t>独立显卡</w:t>
                  </w:r>
                  <w:r>
                    <w:rPr>
                      <w:sz w:val="21"/>
                    </w:rPr>
                    <w:t>。</w:t>
                  </w:r>
                </w:p>
                <w:p>
                  <w:pPr>
                    <w:jc w:val="left"/>
                  </w:pPr>
                  <w:r>
                    <w:rPr>
                      <w:sz w:val="21"/>
                    </w:rPr>
                    <w:t>▲</w:t>
                  </w:r>
                  <w:r>
                    <w:rPr>
                      <w:sz w:val="21"/>
                    </w:rPr>
                    <w:t>1.6</w:t>
                  </w:r>
                  <w:r>
                    <w:rPr>
                      <w:sz w:val="21"/>
                    </w:rPr>
                    <w:t>、主机电源：</w:t>
                  </w:r>
                  <w:r>
                    <w:rPr>
                      <w:sz w:val="21"/>
                    </w:rPr>
                    <w:t>能效高达</w:t>
                  </w:r>
                  <w:r>
                    <w:rPr>
                      <w:sz w:val="21"/>
                    </w:rPr>
                    <w:t>85%</w:t>
                  </w:r>
                  <w:r>
                    <w:rPr>
                      <w:sz w:val="21"/>
                    </w:rPr>
                    <w:t>（能通过铜牌认证</w:t>
                  </w:r>
                  <w:r>
                    <w:rPr>
                      <w:sz w:val="21"/>
                    </w:rPr>
                    <w:t>，电源自带故障诊断灯，带自检开关）</w:t>
                  </w:r>
                </w:p>
                <w:p>
                  <w:pPr>
                    <w:jc w:val="left"/>
                  </w:pPr>
                  <w:r>
                    <w:rPr>
                      <w:sz w:val="21"/>
                    </w:rPr>
                    <w:t>1.7</w:t>
                  </w:r>
                  <w:r>
                    <w:rPr>
                      <w:sz w:val="21"/>
                    </w:rPr>
                    <w:t>、接口和插槽：</w:t>
                  </w:r>
                  <w:r>
                    <w:rPr>
                      <w:sz w:val="21"/>
                    </w:rPr>
                    <w:t>11</w:t>
                  </w:r>
                  <w:r>
                    <w:rPr>
                      <w:sz w:val="21"/>
                    </w:rPr>
                    <w:t>个</w:t>
                  </w:r>
                  <w:r>
                    <w:rPr>
                      <w:sz w:val="21"/>
                    </w:rPr>
                    <w:t>USB</w:t>
                  </w:r>
                  <w:r>
                    <w:rPr>
                      <w:sz w:val="21"/>
                    </w:rPr>
                    <w:t>端口（</w:t>
                  </w:r>
                  <w:r>
                    <w:rPr>
                      <w:sz w:val="21"/>
                    </w:rPr>
                    <w:t>6*USB3.1</w:t>
                  </w:r>
                  <w:r>
                    <w:rPr>
                      <w:sz w:val="21"/>
                    </w:rPr>
                    <w:t>，并自带一个快速充电</w:t>
                  </w:r>
                  <w:r>
                    <w:rPr>
                      <w:sz w:val="21"/>
                    </w:rPr>
                    <w:t>USB</w:t>
                  </w:r>
                  <w:r>
                    <w:rPr>
                      <w:sz w:val="21"/>
                    </w:rPr>
                    <w:t>接口，包括</w:t>
                  </w:r>
                  <w:r>
                    <w:rPr>
                      <w:sz w:val="21"/>
                    </w:rPr>
                    <w:t>Type-c</w:t>
                  </w:r>
                  <w:r>
                    <w:rPr>
                      <w:sz w:val="21"/>
                    </w:rPr>
                    <w:t>接口），</w:t>
                  </w:r>
                  <w:r>
                    <w:rPr>
                      <w:sz w:val="21"/>
                    </w:rPr>
                    <w:t>2</w:t>
                  </w:r>
                  <w:r>
                    <w:rPr>
                      <w:sz w:val="21"/>
                    </w:rPr>
                    <w:t>个 半高</w:t>
                  </w:r>
                  <w:r>
                    <w:rPr>
                      <w:sz w:val="21"/>
                    </w:rPr>
                    <w:t>PCIe x16</w:t>
                  </w:r>
                  <w:r>
                    <w:rPr>
                      <w:sz w:val="21"/>
                    </w:rPr>
                    <w:t>，</w:t>
                  </w:r>
                  <w:r>
                    <w:rPr>
                      <w:sz w:val="21"/>
                    </w:rPr>
                    <w:t>2</w:t>
                  </w:r>
                  <w:r>
                    <w:rPr>
                      <w:sz w:val="21"/>
                    </w:rPr>
                    <w:t>个 半高</w:t>
                  </w:r>
                  <w:r>
                    <w:rPr>
                      <w:sz w:val="21"/>
                    </w:rPr>
                    <w:t>PCIe x1</w:t>
                  </w:r>
                  <w:r>
                    <w:rPr>
                      <w:sz w:val="21"/>
                    </w:rPr>
                    <w:t>，</w:t>
                  </w:r>
                  <w:r>
                    <w:rPr>
                      <w:sz w:val="21"/>
                    </w:rPr>
                    <w:t>1</w:t>
                  </w:r>
                  <w:r>
                    <w:rPr>
                      <w:sz w:val="21"/>
                    </w:rPr>
                    <w:t>个用于可选无线网卡的</w:t>
                  </w:r>
                  <w:r>
                    <w:rPr>
                      <w:sz w:val="21"/>
                    </w:rPr>
                    <w:t>M.2 2230</w:t>
                  </w:r>
                  <w:r>
                    <w:rPr>
                      <w:sz w:val="21"/>
                    </w:rPr>
                    <w:t>，一个用于存储硬盘的</w:t>
                  </w:r>
                  <w:r>
                    <w:rPr>
                      <w:sz w:val="21"/>
                    </w:rPr>
                    <w:t>M.2 2280</w:t>
                  </w:r>
                  <w:r>
                    <w:rPr>
                      <w:sz w:val="21"/>
                    </w:rPr>
                    <w:t>。</w:t>
                  </w:r>
                </w:p>
                <w:p>
                  <w:pPr>
                    <w:jc w:val="left"/>
                  </w:pPr>
                  <w:r>
                    <w:rPr>
                      <w:sz w:val="21"/>
                    </w:rPr>
                    <w:t>1.8</w:t>
                  </w:r>
                  <w:r>
                    <w:rPr>
                      <w:sz w:val="21"/>
                    </w:rPr>
                    <w:t>、网络同传：网络同传</w:t>
                  </w:r>
                  <w:r>
                    <w:rPr>
                      <w:sz w:val="21"/>
                    </w:rPr>
                    <w:t>+</w:t>
                  </w:r>
                  <w:r>
                    <w:rPr>
                      <w:sz w:val="21"/>
                    </w:rPr>
                    <w:t>硬盘保护。</w:t>
                  </w:r>
                </w:p>
                <w:p>
                  <w:pPr>
                    <w:jc w:val="left"/>
                  </w:pPr>
                  <w:r>
                    <w:rPr>
                      <w:sz w:val="21"/>
                    </w:rPr>
                    <w:t>1.9</w:t>
                  </w:r>
                  <w:r>
                    <w:rPr>
                      <w:sz w:val="21"/>
                    </w:rPr>
                    <w:t>、键盘与鼠标  标准配置</w:t>
                  </w:r>
                  <w:r>
                    <w:rPr>
                      <w:sz w:val="21"/>
                    </w:rPr>
                    <w:t>USB</w:t>
                  </w:r>
                  <w:r>
                    <w:rPr>
                      <w:sz w:val="21"/>
                    </w:rPr>
                    <w:t>抗菌键盘与鼠标，抗菌率不低于</w:t>
                  </w:r>
                  <w:r>
                    <w:rPr>
                      <w:sz w:val="21"/>
                    </w:rPr>
                    <w:t>99%</w:t>
                  </w:r>
                  <w:r>
                    <w:rPr>
                      <w:sz w:val="21"/>
                    </w:rPr>
                    <w:t>。</w:t>
                  </w:r>
                </w:p>
                <w:p>
                  <w:pPr>
                    <w:jc w:val="left"/>
                  </w:pPr>
                  <w:r>
                    <w:rPr>
                      <w:sz w:val="21"/>
                    </w:rPr>
                    <w:t>1.10</w:t>
                  </w:r>
                  <w:r>
                    <w:rPr>
                      <w:sz w:val="21"/>
                    </w:rPr>
                    <w:t>、显示器：同一品牌</w:t>
                  </w:r>
                  <w:r>
                    <w:rPr>
                      <w:sz w:val="21"/>
                    </w:rPr>
                    <w:t>23.8"</w:t>
                  </w:r>
                  <w:r>
                    <w:rPr>
                      <w:sz w:val="21"/>
                    </w:rPr>
                    <w:t>宽屏</w:t>
                  </w:r>
                  <w:r>
                    <w:rPr>
                      <w:sz w:val="21"/>
                    </w:rPr>
                    <w:t>或优于</w:t>
                  </w:r>
                  <w:r>
                    <w:rPr>
                      <w:sz w:val="21"/>
                    </w:rPr>
                    <w:t>，</w:t>
                  </w:r>
                  <w:r>
                    <w:rPr>
                      <w:sz w:val="21"/>
                    </w:rPr>
                    <w:t>16:9 IPS</w:t>
                  </w:r>
                  <w:r>
                    <w:rPr>
                      <w:sz w:val="21"/>
                    </w:rPr>
                    <w:t>面板，</w:t>
                  </w:r>
                  <w:r>
                    <w:rPr>
                      <w:sz w:val="21"/>
                    </w:rPr>
                    <w:t>1920x1080</w:t>
                  </w:r>
                  <w:r>
                    <w:rPr>
                      <w:sz w:val="21"/>
                    </w:rPr>
                    <w:t>分辨率</w:t>
                  </w:r>
                  <w:r>
                    <w:rPr>
                      <w:sz w:val="21"/>
                    </w:rPr>
                    <w:t>或优于</w:t>
                  </w:r>
                  <w:r>
                    <w:rPr>
                      <w:sz w:val="21"/>
                    </w:rPr>
                    <w:t>，</w:t>
                  </w:r>
                  <w:r>
                    <w:rPr>
                      <w:sz w:val="21"/>
                    </w:rPr>
                    <w:t>可视角度</w:t>
                  </w:r>
                  <w:r>
                    <w:rPr>
                      <w:sz w:val="21"/>
                    </w:rPr>
                    <w:t>≥</w:t>
                  </w:r>
                  <w:r>
                    <w:rPr>
                      <w:sz w:val="21"/>
                    </w:rPr>
                    <w:t>178</w:t>
                  </w:r>
                  <w:r>
                    <w:rPr>
                      <w:sz w:val="21"/>
                    </w:rPr>
                    <w:t>°，</w:t>
                  </w:r>
                  <w:r>
                    <w:rPr>
                      <w:sz w:val="21"/>
                    </w:rPr>
                    <w:t>至多</w:t>
                  </w:r>
                  <w:r>
                    <w:rPr>
                      <w:sz w:val="21"/>
                    </w:rPr>
                    <w:t>5ms</w:t>
                  </w:r>
                  <w:r>
                    <w:rPr>
                      <w:sz w:val="21"/>
                    </w:rPr>
                    <w:t>响应，低蓝光调节，升降调节支架，可轴心左右旋转。</w:t>
                  </w:r>
                </w:p>
                <w:p>
                  <w:pPr>
                    <w:jc w:val="left"/>
                  </w:pPr>
                  <w:r>
                    <w:rPr>
                      <w:sz w:val="21"/>
                    </w:rPr>
                    <w:t>1.11</w:t>
                  </w:r>
                  <w:r>
                    <w:rPr>
                      <w:sz w:val="21"/>
                    </w:rPr>
                    <w:t>、网络同传及硬盘保护功能性：</w:t>
                  </w:r>
                </w:p>
                <w:p>
                  <w:pPr>
                    <w:jc w:val="left"/>
                  </w:pPr>
                  <w:r>
                    <w:rPr>
                      <w:sz w:val="21"/>
                    </w:rPr>
                    <w:t>1.11.1</w:t>
                  </w:r>
                  <w:r>
                    <w:rPr>
                      <w:sz w:val="21"/>
                    </w:rPr>
                    <w:t>、支持混合硬盘保护，实现跨硬盘安装多系统。</w:t>
                  </w:r>
                </w:p>
                <w:p>
                  <w:pPr>
                    <w:jc w:val="left"/>
                  </w:pPr>
                  <w:r>
                    <w:rPr>
                      <w:sz w:val="21"/>
                    </w:rPr>
                    <w:t>1.11.2</w:t>
                  </w:r>
                  <w:r>
                    <w:rPr>
                      <w:sz w:val="21"/>
                    </w:rPr>
                    <w:t>、支持双硬盘保护，实现网络同传。</w:t>
                  </w:r>
                </w:p>
                <w:p>
                  <w:pPr>
                    <w:jc w:val="left"/>
                  </w:pPr>
                  <w:r>
                    <w:rPr>
                      <w:sz w:val="21"/>
                    </w:rPr>
                    <w:t>1.11.3</w:t>
                  </w:r>
                  <w:r>
                    <w:rPr>
                      <w:sz w:val="21"/>
                    </w:rPr>
                    <w:t>、支持虚拟磁盘，防止数据丢失，通过虚拟磁盘功能，加载进度数据，可以拷贝出来。</w:t>
                  </w:r>
                </w:p>
                <w:p>
                  <w:pPr>
                    <w:jc w:val="left"/>
                  </w:pPr>
                  <w:r>
                    <w:rPr>
                      <w:sz w:val="21"/>
                    </w:rPr>
                    <w:t>1.11.4</w:t>
                  </w:r>
                  <w:r>
                    <w:rPr>
                      <w:sz w:val="21"/>
                    </w:rPr>
                    <w:t>、支持</w:t>
                  </w:r>
                  <w:r>
                    <w:rPr>
                      <w:sz w:val="21"/>
                    </w:rPr>
                    <w:t>GPT/MBR</w:t>
                  </w:r>
                  <w:r>
                    <w:rPr>
                      <w:sz w:val="21"/>
                    </w:rPr>
                    <w:t>系统</w:t>
                  </w:r>
                  <w:r>
                    <w:rPr>
                      <w:sz w:val="21"/>
                    </w:rPr>
                    <w:t>0</w:t>
                  </w:r>
                  <w:r>
                    <w:rPr>
                      <w:sz w:val="21"/>
                    </w:rPr>
                    <w:t>秒切换不需要设置</w:t>
                  </w:r>
                  <w:r>
                    <w:rPr>
                      <w:sz w:val="21"/>
                    </w:rPr>
                    <w:t>BIOS</w:t>
                  </w:r>
                  <w:r>
                    <w:rPr>
                      <w:sz w:val="21"/>
                    </w:rPr>
                    <w:t>直接进入。</w:t>
                  </w:r>
                </w:p>
                <w:p>
                  <w:pPr>
                    <w:jc w:val="left"/>
                  </w:pPr>
                  <w:r>
                    <w:rPr>
                      <w:sz w:val="21"/>
                    </w:rPr>
                    <w:t>1.11.5</w:t>
                  </w:r>
                  <w:r>
                    <w:rPr>
                      <w:sz w:val="21"/>
                    </w:rPr>
                    <w:t>、最多支持创建</w:t>
                  </w:r>
                  <w:r>
                    <w:rPr>
                      <w:sz w:val="21"/>
                    </w:rPr>
                    <w:t>64</w:t>
                  </w:r>
                  <w:r>
                    <w:rPr>
                      <w:sz w:val="21"/>
                    </w:rPr>
                    <w:t>个操作系统，可隐藏操作系统不让使用，支持</w:t>
                  </w:r>
                  <w:r>
                    <w:rPr>
                      <w:sz w:val="21"/>
                    </w:rPr>
                    <w:t>NTFS/FAT32</w:t>
                  </w:r>
                  <w:r>
                    <w:rPr>
                      <w:sz w:val="21"/>
                    </w:rPr>
                    <w:t>资料盘自动清除，支持共用分区保护。</w:t>
                  </w:r>
                </w:p>
                <w:p>
                  <w:pPr>
                    <w:jc w:val="left"/>
                  </w:pPr>
                  <w:r>
                    <w:rPr>
                      <w:sz w:val="21"/>
                    </w:rPr>
                    <w:t>1.11.6</w:t>
                  </w:r>
                  <w:r>
                    <w:rPr>
                      <w:sz w:val="21"/>
                    </w:rPr>
                    <w:t>、可控制学生机是否能上网，或者设定机房内计算机内外网的访问黑白名单，提供良好教学环境。</w:t>
                  </w:r>
                </w:p>
                <w:p>
                  <w:pPr>
                    <w:jc w:val="left"/>
                  </w:pPr>
                  <w:r>
                    <w:rPr>
                      <w:sz w:val="21"/>
                    </w:rPr>
                    <w:t>1.11.7</w:t>
                  </w:r>
                  <w:r>
                    <w:rPr>
                      <w:sz w:val="21"/>
                    </w:rPr>
                    <w:t>、可远程查看学生机屏幕，对学生进行实时指导。</w:t>
                  </w:r>
                </w:p>
                <w:p>
                  <w:pPr>
                    <w:jc w:val="left"/>
                  </w:pPr>
                  <w:r>
                    <w:rPr>
                      <w:sz w:val="21"/>
                    </w:rPr>
                    <w:t>1.11.8</w:t>
                  </w:r>
                  <w:r>
                    <w:rPr>
                      <w:sz w:val="21"/>
                    </w:rPr>
                    <w:t>、支持远程屏幕消息广播，及时通知消息，在练习，考试时进行提醒。</w:t>
                  </w:r>
                </w:p>
                <w:p>
                  <w:pPr>
                    <w:jc w:val="left"/>
                  </w:pPr>
                  <w:r>
                    <w:rPr>
                      <w:sz w:val="21"/>
                    </w:rPr>
                    <w:t>1.11.9</w:t>
                  </w:r>
                  <w:r>
                    <w:rPr>
                      <w:sz w:val="21"/>
                    </w:rPr>
                    <w:t>、支持因病毒攻击、以外文件删除、操作系统损坏</w:t>
                  </w:r>
                  <w:r>
                    <w:rPr>
                      <w:sz w:val="21"/>
                    </w:rPr>
                    <w:t>/</w:t>
                  </w:r>
                  <w:r>
                    <w:rPr>
                      <w:sz w:val="21"/>
                    </w:rPr>
                    <w:t>软件损坏、硬件故障造成的数据丢失备份和恢复</w:t>
                  </w:r>
                  <w:r>
                    <w:rPr>
                      <w:sz w:val="21"/>
                    </w:rPr>
                    <w:t>。</w:t>
                  </w:r>
                </w:p>
                <w:p>
                  <w:r>
                    <w:rPr>
                      <w:sz w:val="20"/>
                    </w:rPr>
                    <w:t>▲</w:t>
                  </w:r>
                  <w:r>
                    <w:rPr>
                      <w:sz w:val="20"/>
                    </w:rPr>
                    <w:t>1.12、产品能通过3C认证（提供相关证明材料）。</w:t>
                  </w:r>
                </w:p>
              </w:tc>
              <w:tc>
                <w:tcPr>
                  <w:tcW w:type="dxa" w:w="316"/>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384"/>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5599"/>
                  <w:gridSpan w:val="5"/>
                  <w:tcBorders>
                    <w:top w:val="none" w:color="000000" w:sz="4"/>
                    <w:left w:val="single" w:color="000000" w:sz="4"/>
                    <w:bottom w:val="single" w:color="000000" w:sz="4"/>
                    <w:right w:val="single" w:color="000000" w:sz="4"/>
                  </w:tcBorders>
                  <w:vAlign w:val="top"/>
                </w:tcPr>
                <w:p>
                  <w:pPr>
                    <w:jc w:val="left"/>
                  </w:pPr>
                  <w:r>
                    <w:rPr>
                      <w:b/>
                      <w:sz w:val="21"/>
                    </w:rPr>
                    <w:t>二、工艺美术木雕、雕塑工场（</w:t>
                  </w:r>
                  <w:r>
                    <w:rPr>
                      <w:b/>
                      <w:sz w:val="21"/>
                    </w:rPr>
                    <w:t>110室）</w:t>
                  </w:r>
                </w:p>
              </w:tc>
            </w:tr>
            <w:tr>
              <w:tc>
                <w:tcPr>
                  <w:tcW w:type="dxa" w:w="278"/>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379"/>
                  <w:tcBorders>
                    <w:top w:val="single" w:color="000000" w:sz="4"/>
                    <w:left w:val="single" w:color="000000" w:sz="4"/>
                    <w:bottom w:val="single" w:color="000000" w:sz="4"/>
                    <w:right w:val="single" w:color="000000" w:sz="4"/>
                  </w:tcBorders>
                  <w:vAlign w:val="top"/>
                </w:tcPr>
                <w:p>
                  <w:pPr>
                    <w:jc w:val="center"/>
                  </w:pPr>
                  <w:r>
                    <w:rPr>
                      <w:b/>
                      <w:sz w:val="21"/>
                    </w:rPr>
                    <w:t>名称</w:t>
                  </w:r>
                </w:p>
              </w:tc>
              <w:tc>
                <w:tcPr>
                  <w:tcW w:type="dxa" w:w="4242"/>
                  <w:tcBorders>
                    <w:top w:val="single" w:color="000000" w:sz="4"/>
                    <w:left w:val="single" w:color="000000" w:sz="4"/>
                    <w:bottom w:val="single" w:color="000000" w:sz="4"/>
                    <w:right w:val="single" w:color="000000" w:sz="4"/>
                  </w:tcBorders>
                  <w:vAlign w:val="top"/>
                </w:tcPr>
                <w:p>
                  <w:pPr>
                    <w:jc w:val="center"/>
                  </w:pPr>
                  <w:r>
                    <w:rPr>
                      <w:b/>
                      <w:sz w:val="21"/>
                    </w:rPr>
                    <w:t>技术参数</w:t>
                  </w:r>
                </w:p>
              </w:tc>
              <w:tc>
                <w:tcPr>
                  <w:tcW w:type="dxa" w:w="316"/>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384"/>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2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79"/>
                  <w:tcBorders>
                    <w:top w:val="none" w:color="000000" w:sz="4"/>
                    <w:left w:val="single" w:color="000000" w:sz="4"/>
                    <w:bottom w:val="single" w:color="000000" w:sz="4"/>
                    <w:right w:val="single" w:color="000000" w:sz="4"/>
                  </w:tcBorders>
                  <w:vAlign w:val="top"/>
                </w:tcPr>
                <w:p>
                  <w:pPr>
                    <w:jc w:val="center"/>
                  </w:pPr>
                  <w:r>
                    <w:rPr>
                      <w:sz w:val="21"/>
                    </w:rPr>
                    <w:t>木雕室购置设备</w:t>
                  </w:r>
                </w:p>
              </w:tc>
              <w:tc>
                <w:tcPr>
                  <w:tcW w:type="dxa" w:w="4242"/>
                  <w:tcBorders>
                    <w:top w:val="none" w:color="000000" w:sz="4"/>
                    <w:left w:val="single" w:color="000000" w:sz="4"/>
                    <w:bottom w:val="single" w:color="000000" w:sz="4"/>
                    <w:right w:val="single" w:color="000000" w:sz="4"/>
                  </w:tcBorders>
                  <w:vAlign w:val="top"/>
                </w:tcPr>
                <w:p>
                  <w:pPr>
                    <w:jc w:val="left"/>
                  </w:pPr>
                  <w:r>
                    <w:rPr>
                      <w:sz w:val="21"/>
                    </w:rPr>
                    <w:t>数控玉石雕刻机、压刨机、拉花锯及锯台、电木铣、黑胡桃木料、榉木等实训器械及元配件</w:t>
                  </w:r>
                </w:p>
              </w:tc>
              <w:tc>
                <w:tcPr>
                  <w:tcW w:type="dxa" w:w="316"/>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384"/>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79"/>
                  <w:tcBorders>
                    <w:top w:val="none" w:color="000000" w:sz="4"/>
                    <w:left w:val="single" w:color="000000" w:sz="4"/>
                    <w:bottom w:val="single" w:color="000000" w:sz="4"/>
                    <w:right w:val="single" w:color="000000" w:sz="4"/>
                  </w:tcBorders>
                  <w:vAlign w:val="top"/>
                </w:tcPr>
                <w:p>
                  <w:pPr>
                    <w:jc w:val="center"/>
                  </w:pPr>
                  <w:r>
                    <w:rPr>
                      <w:sz w:val="21"/>
                    </w:rPr>
                    <w:t>雕塑室购置设备</w:t>
                  </w:r>
                </w:p>
              </w:tc>
              <w:tc>
                <w:tcPr>
                  <w:tcW w:type="dxa" w:w="4242"/>
                  <w:tcBorders>
                    <w:top w:val="none" w:color="000000" w:sz="4"/>
                    <w:left w:val="single" w:color="000000" w:sz="4"/>
                    <w:bottom w:val="single" w:color="000000" w:sz="4"/>
                    <w:right w:val="single" w:color="000000" w:sz="4"/>
                  </w:tcBorders>
                  <w:vAlign w:val="top"/>
                </w:tcPr>
                <w:p>
                  <w:pPr>
                    <w:jc w:val="left"/>
                  </w:pPr>
                  <w:r>
                    <w:rPr>
                      <w:sz w:val="21"/>
                    </w:rPr>
                    <w:t>练泥机、集尘设备、电锯、吊磨机等实训器械及元配件</w:t>
                  </w:r>
                </w:p>
              </w:tc>
              <w:tc>
                <w:tcPr>
                  <w:tcW w:type="dxa" w:w="316"/>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384"/>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78"/>
                  <w:tcBorders>
                    <w:top w:val="none" w:color="000000" w:sz="4"/>
                    <w:left w:val="single" w:color="000000" w:sz="4"/>
                    <w:bottom w:val="single" w:color="000000" w:sz="4"/>
                    <w:right w:val="single" w:color="000000" w:sz="4"/>
                  </w:tcBorders>
                  <w:vAlign w:val="top"/>
                </w:tcPr>
                <w:p>
                  <w:pPr>
                    <w:jc w:val="center"/>
                  </w:pPr>
                  <w:r>
                    <w:rPr>
                      <w:sz w:val="21"/>
                    </w:rPr>
                    <w:t>3</w:t>
                  </w:r>
                </w:p>
              </w:tc>
              <w:tc>
                <w:tcPr>
                  <w:tcW w:type="dxa" w:w="379"/>
                  <w:tcBorders>
                    <w:top w:val="none" w:color="000000" w:sz="4"/>
                    <w:left w:val="single" w:color="000000" w:sz="4"/>
                    <w:bottom w:val="single" w:color="000000" w:sz="4"/>
                    <w:right w:val="single" w:color="000000" w:sz="4"/>
                  </w:tcBorders>
                  <w:vAlign w:val="top"/>
                </w:tcPr>
                <w:p>
                  <w:pPr>
                    <w:jc w:val="center"/>
                  </w:pPr>
                  <w:r>
                    <w:rPr>
                      <w:sz w:val="21"/>
                    </w:rPr>
                    <w:t>木雕室购置设备配套集成</w:t>
                  </w:r>
                </w:p>
              </w:tc>
              <w:tc>
                <w:tcPr>
                  <w:tcW w:type="dxa" w:w="4242"/>
                  <w:tcBorders>
                    <w:top w:val="none" w:color="000000" w:sz="4"/>
                    <w:left w:val="single" w:color="000000" w:sz="4"/>
                    <w:bottom w:val="single" w:color="000000" w:sz="4"/>
                    <w:right w:val="single" w:color="000000" w:sz="4"/>
                  </w:tcBorders>
                  <w:vAlign w:val="top"/>
                </w:tcPr>
                <w:p>
                  <w:pPr>
                    <w:jc w:val="left"/>
                  </w:pPr>
                  <w:r>
                    <w:rPr>
                      <w:sz w:val="21"/>
                    </w:rPr>
                    <w:t>木雕室实训器械元配件配套集成</w:t>
                  </w:r>
                </w:p>
              </w:tc>
              <w:tc>
                <w:tcPr>
                  <w:tcW w:type="dxa" w:w="316"/>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384"/>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78"/>
                  <w:tcBorders>
                    <w:top w:val="none" w:color="000000" w:sz="4"/>
                    <w:left w:val="single" w:color="000000" w:sz="4"/>
                    <w:bottom w:val="single" w:color="000000" w:sz="4"/>
                    <w:right w:val="single" w:color="000000" w:sz="4"/>
                  </w:tcBorders>
                  <w:vAlign w:val="top"/>
                </w:tcPr>
                <w:p>
                  <w:pPr>
                    <w:jc w:val="center"/>
                  </w:pPr>
                  <w:r>
                    <w:rPr>
                      <w:sz w:val="21"/>
                    </w:rPr>
                    <w:t>4</w:t>
                  </w:r>
                </w:p>
              </w:tc>
              <w:tc>
                <w:tcPr>
                  <w:tcW w:type="dxa" w:w="379"/>
                  <w:tcBorders>
                    <w:top w:val="none" w:color="000000" w:sz="4"/>
                    <w:left w:val="single" w:color="000000" w:sz="4"/>
                    <w:bottom w:val="single" w:color="000000" w:sz="4"/>
                    <w:right w:val="single" w:color="000000" w:sz="4"/>
                  </w:tcBorders>
                  <w:vAlign w:val="top"/>
                </w:tcPr>
                <w:p>
                  <w:pPr>
                    <w:jc w:val="center"/>
                  </w:pPr>
                  <w:r>
                    <w:rPr>
                      <w:sz w:val="21"/>
                    </w:rPr>
                    <w:t>雕塑室购置设备配套集成</w:t>
                  </w:r>
                </w:p>
              </w:tc>
              <w:tc>
                <w:tcPr>
                  <w:tcW w:type="dxa" w:w="4242"/>
                  <w:tcBorders>
                    <w:top w:val="none" w:color="000000" w:sz="4"/>
                    <w:left w:val="single" w:color="000000" w:sz="4"/>
                    <w:bottom w:val="single" w:color="000000" w:sz="4"/>
                    <w:right w:val="single" w:color="000000" w:sz="4"/>
                  </w:tcBorders>
                  <w:vAlign w:val="top"/>
                </w:tcPr>
                <w:p>
                  <w:pPr>
                    <w:jc w:val="left"/>
                  </w:pPr>
                  <w:r>
                    <w:rPr>
                      <w:sz w:val="21"/>
                    </w:rPr>
                    <w:t>雕塑室实训器械元配件配套集成</w:t>
                  </w:r>
                </w:p>
              </w:tc>
              <w:tc>
                <w:tcPr>
                  <w:tcW w:type="dxa" w:w="316"/>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384"/>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5599"/>
                  <w:gridSpan w:val="5"/>
                  <w:tcBorders>
                    <w:top w:val="none" w:color="000000" w:sz="4"/>
                    <w:left w:val="single" w:color="000000" w:sz="4"/>
                    <w:bottom w:val="single" w:color="000000" w:sz="4"/>
                    <w:right w:val="single" w:color="000000" w:sz="4"/>
                  </w:tcBorders>
                  <w:vAlign w:val="top"/>
                </w:tcPr>
                <w:p>
                  <w:pPr>
                    <w:jc w:val="left"/>
                  </w:pPr>
                  <w:r>
                    <w:rPr>
                      <w:b/>
                      <w:sz w:val="21"/>
                    </w:rPr>
                    <w:t>三、工艺美术艺术设计创意工场实训室</w:t>
                  </w:r>
                </w:p>
              </w:tc>
            </w:tr>
            <w:tr>
              <w:tc>
                <w:tcPr>
                  <w:tcW w:type="dxa" w:w="278"/>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379"/>
                  <w:tcBorders>
                    <w:top w:val="single" w:color="000000" w:sz="4"/>
                    <w:left w:val="single" w:color="000000" w:sz="4"/>
                    <w:bottom w:val="single" w:color="000000" w:sz="4"/>
                    <w:right w:val="single" w:color="000000" w:sz="4"/>
                  </w:tcBorders>
                  <w:vAlign w:val="top"/>
                </w:tcPr>
                <w:p>
                  <w:pPr>
                    <w:jc w:val="center"/>
                  </w:pPr>
                  <w:r>
                    <w:rPr>
                      <w:b/>
                      <w:sz w:val="21"/>
                    </w:rPr>
                    <w:t>名称</w:t>
                  </w:r>
                </w:p>
              </w:tc>
              <w:tc>
                <w:tcPr>
                  <w:tcW w:type="dxa" w:w="4242"/>
                  <w:tcBorders>
                    <w:top w:val="single" w:color="000000" w:sz="4"/>
                    <w:left w:val="single" w:color="000000" w:sz="4"/>
                    <w:bottom w:val="single" w:color="000000" w:sz="4"/>
                    <w:right w:val="single" w:color="000000" w:sz="4"/>
                  </w:tcBorders>
                  <w:vAlign w:val="top"/>
                </w:tcPr>
                <w:p>
                  <w:pPr>
                    <w:jc w:val="center"/>
                  </w:pPr>
                  <w:r>
                    <w:rPr>
                      <w:b/>
                      <w:sz w:val="21"/>
                    </w:rPr>
                    <w:t>参数</w:t>
                  </w:r>
                </w:p>
              </w:tc>
              <w:tc>
                <w:tcPr>
                  <w:tcW w:type="dxa" w:w="316"/>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384"/>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278"/>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79"/>
                  <w:tcBorders>
                    <w:top w:val="none" w:color="000000" w:sz="4"/>
                    <w:left w:val="single" w:color="000000" w:sz="4"/>
                    <w:bottom w:val="single" w:color="000000" w:sz="4"/>
                    <w:right w:val="single" w:color="000000" w:sz="4"/>
                  </w:tcBorders>
                  <w:vAlign w:val="top"/>
                </w:tcPr>
                <w:p>
                  <w:pPr>
                    <w:jc w:val="center"/>
                  </w:pPr>
                  <w:r>
                    <w:rPr>
                      <w:sz w:val="21"/>
                    </w:rPr>
                    <w:t>图形工作站</w:t>
                  </w:r>
                  <w:r>
                    <w:rPr>
                      <w:sz w:val="21"/>
                    </w:rPr>
                    <w:t>1</w:t>
                  </w:r>
                </w:p>
              </w:tc>
              <w:tc>
                <w:tcPr>
                  <w:tcW w:type="dxa" w:w="4242"/>
                  <w:tcBorders>
                    <w:top w:val="none" w:color="000000" w:sz="4"/>
                    <w:left w:val="single" w:color="000000" w:sz="4"/>
                    <w:bottom w:val="single" w:color="000000" w:sz="4"/>
                    <w:right w:val="single" w:color="000000" w:sz="4"/>
                  </w:tcBorders>
                  <w:vAlign w:val="top"/>
                </w:tcPr>
                <w:p>
                  <w:pPr>
                    <w:jc w:val="left"/>
                  </w:pPr>
                  <w:r>
                    <w:rPr>
                      <w:sz w:val="21"/>
                    </w:rPr>
                    <w:t>★</w:t>
                  </w:r>
                  <w:r>
                    <w:rPr>
                      <w:sz w:val="21"/>
                    </w:rPr>
                    <w:t>1.1</w:t>
                  </w:r>
                  <w:r>
                    <w:rPr>
                      <w:sz w:val="21"/>
                    </w:rPr>
                    <w:t>、</w:t>
                  </w:r>
                  <w:r>
                    <w:rPr>
                      <w:sz w:val="21"/>
                    </w:rPr>
                    <w:t>相当或优于十代</w:t>
                  </w:r>
                  <w:r>
                    <w:rPr>
                      <w:sz w:val="21"/>
                    </w:rPr>
                    <w:t>Intel i7</w:t>
                  </w:r>
                  <w:r>
                    <w:rPr>
                      <w:sz w:val="21"/>
                    </w:rPr>
                    <w:t>处理器</w:t>
                  </w:r>
                  <w:r>
                    <w:rPr>
                      <w:sz w:val="21"/>
                    </w:rPr>
                    <w:t xml:space="preserve"> </w:t>
                  </w:r>
                  <w:r>
                    <w:rPr>
                      <w:sz w:val="21"/>
                    </w:rPr>
                    <w:t>,16M高速缓存缓存，8 核</w:t>
                  </w:r>
                </w:p>
                <w:p>
                  <w:pPr>
                    <w:jc w:val="left"/>
                  </w:pPr>
                  <w:r>
                    <w:rPr>
                      <w:sz w:val="21"/>
                    </w:rPr>
                    <w:t>▲</w:t>
                  </w:r>
                  <w:r>
                    <w:rPr>
                      <w:sz w:val="21"/>
                    </w:rPr>
                    <w:t>1.2、主板:</w:t>
                  </w:r>
                  <w:r>
                    <w:rPr>
                      <w:sz w:val="21"/>
                    </w:rPr>
                    <w:t>相当或优于英特尔</w:t>
                  </w:r>
                  <w:r>
                    <w:rPr>
                      <w:sz w:val="21"/>
                    </w:rPr>
                    <w:t>® W480</w:t>
                  </w:r>
                  <w:r>
                    <w:rPr>
                      <w:sz w:val="21"/>
                    </w:rPr>
                    <w:t>芯片组</w:t>
                  </w:r>
                </w:p>
                <w:p>
                  <w:pPr>
                    <w:jc w:val="left"/>
                  </w:pPr>
                  <w:r>
                    <w:rPr>
                      <w:sz w:val="21"/>
                    </w:rPr>
                    <w:t>1.3、最高可配4个2.5 英寸或者3个3.5英寸，2个M.2 SSD插槽</w:t>
                  </w:r>
                </w:p>
                <w:p>
                  <w:pPr>
                    <w:jc w:val="left"/>
                  </w:pPr>
                  <w:r>
                    <w:rPr>
                      <w:sz w:val="21"/>
                    </w:rPr>
                    <w:t>可支持一个超高速驱动器（</w:t>
                  </w:r>
                  <w:r>
                    <w:rPr>
                      <w:sz w:val="21"/>
                    </w:rPr>
                    <w:t>x8）的PCI-e硬盘，本次配置1块3.5 英寸 1TB 7200rpm SATA +256G SSD</w:t>
                  </w:r>
                  <w:r>
                    <w:rPr>
                      <w:sz w:val="21"/>
                    </w:rPr>
                    <w:t>硬盘或优于</w:t>
                  </w:r>
                </w:p>
                <w:p>
                  <w:pPr>
                    <w:jc w:val="left"/>
                  </w:pPr>
                  <w:r>
                    <w:rPr>
                      <w:sz w:val="21"/>
                    </w:rPr>
                    <w:t>▲</w:t>
                  </w:r>
                  <w:r>
                    <w:rPr>
                      <w:sz w:val="21"/>
                    </w:rPr>
                    <w:t>1.4、内存：</w:t>
                  </w:r>
                  <w:r>
                    <w:rPr>
                      <w:sz w:val="21"/>
                    </w:rPr>
                    <w:t>≥16G</w:t>
                  </w:r>
                  <w:r>
                    <w:rPr>
                      <w:sz w:val="21"/>
                    </w:rPr>
                    <w:t xml:space="preserve"> </w:t>
                  </w:r>
                  <w:r>
                    <w:rPr>
                      <w:sz w:val="21"/>
                    </w:rPr>
                    <w:t>DDR4 2933MHz，可支持内存硬件防错技术，标记坏死扇区，通过重启移除故障延长使用寿命。（</w:t>
                  </w:r>
                  <w:r>
                    <w:rPr>
                      <w:sz w:val="21"/>
                    </w:rPr>
                    <w:t>提供相关证明材料</w:t>
                  </w:r>
                  <w:r>
                    <w:rPr>
                      <w:sz w:val="21"/>
                    </w:rPr>
                    <w:t>）</w:t>
                  </w:r>
                </w:p>
                <w:p>
                  <w:pPr>
                    <w:jc w:val="left"/>
                  </w:pPr>
                  <w:r>
                    <w:rPr>
                      <w:sz w:val="21"/>
                    </w:rPr>
                    <w:t>★</w:t>
                  </w:r>
                  <w:r>
                    <w:rPr>
                      <w:sz w:val="21"/>
                    </w:rPr>
                    <w:t>1.5、专业显卡：</w:t>
                  </w:r>
                  <w:r>
                    <w:rPr>
                      <w:sz w:val="21"/>
                    </w:rPr>
                    <w:t>≥4GB独立显卡</w:t>
                  </w:r>
                  <w:r>
                    <w:rPr>
                      <w:sz w:val="21"/>
                    </w:rPr>
                    <w:t>。</w:t>
                  </w:r>
                </w:p>
                <w:p>
                  <w:pPr>
                    <w:jc w:val="left"/>
                  </w:pPr>
                  <w:r>
                    <w:rPr>
                      <w:sz w:val="21"/>
                    </w:rPr>
                    <w:t>▲</w:t>
                  </w:r>
                  <w:r>
                    <w:rPr>
                      <w:sz w:val="21"/>
                    </w:rPr>
                    <w:t>1.6、主机电源：</w:t>
                  </w:r>
                  <w:r>
                    <w:rPr>
                      <w:sz w:val="21"/>
                    </w:rPr>
                    <w:t>能效高达</w:t>
                  </w:r>
                  <w:r>
                    <w:rPr>
                      <w:sz w:val="21"/>
                    </w:rPr>
                    <w:t>85%（能通过铜牌认证</w:t>
                  </w:r>
                  <w:r>
                    <w:rPr>
                      <w:sz w:val="21"/>
                    </w:rPr>
                    <w:t>，电源自带故障诊断灯，带自检开关）</w:t>
                  </w:r>
                </w:p>
                <w:p>
                  <w:pPr>
                    <w:jc w:val="left"/>
                  </w:pPr>
                  <w:r>
                    <w:rPr>
                      <w:sz w:val="21"/>
                    </w:rPr>
                    <w:t>1.7、接口和插槽：11个 USB 端口（6*USB3.1，并自带一个快速充电USB接口，包括Type-c接口），2个 半高PCIe x16 ，2个 半高PCIe x1，1个用于可选无线网卡的M.2 2230，一个用于存储硬盘的M.2 2280。</w:t>
                  </w:r>
                </w:p>
                <w:p>
                  <w:pPr>
                    <w:jc w:val="left"/>
                  </w:pPr>
                  <w:r>
                    <w:rPr>
                      <w:sz w:val="21"/>
                    </w:rPr>
                    <w:t>1.8、网络同传：网络同传+硬盘保护。</w:t>
                  </w:r>
                </w:p>
                <w:p>
                  <w:pPr>
                    <w:jc w:val="left"/>
                  </w:pPr>
                  <w:r>
                    <w:rPr>
                      <w:sz w:val="21"/>
                    </w:rPr>
                    <w:t>1.9、键盘与鼠标  标准配置USB抗菌键盘与鼠标，抗菌率不低于99%。</w:t>
                  </w:r>
                </w:p>
                <w:p>
                  <w:pPr>
                    <w:jc w:val="left"/>
                  </w:pPr>
                  <w:r>
                    <w:rPr>
                      <w:sz w:val="21"/>
                    </w:rPr>
                    <w:t>1.10、显示器：同一品牌23.8"宽屏</w:t>
                  </w:r>
                  <w:r>
                    <w:rPr>
                      <w:sz w:val="21"/>
                    </w:rPr>
                    <w:t>或优于</w:t>
                  </w:r>
                  <w:r>
                    <w:rPr>
                      <w:sz w:val="21"/>
                    </w:rPr>
                    <w:t>，</w:t>
                  </w:r>
                  <w:r>
                    <w:rPr>
                      <w:sz w:val="21"/>
                    </w:rPr>
                    <w:t>16:9 IPS面板，1920x1080分辨率</w:t>
                  </w:r>
                  <w:r>
                    <w:rPr>
                      <w:sz w:val="21"/>
                    </w:rPr>
                    <w:t>或优于</w:t>
                  </w:r>
                  <w:r>
                    <w:rPr>
                      <w:sz w:val="21"/>
                    </w:rPr>
                    <w:t>，</w:t>
                  </w:r>
                  <w:r>
                    <w:rPr>
                      <w:sz w:val="21"/>
                    </w:rPr>
                    <w:t>可视角度</w:t>
                  </w:r>
                  <w:r>
                    <w:rPr>
                      <w:sz w:val="21"/>
                    </w:rPr>
                    <w:t>≥</w:t>
                  </w:r>
                  <w:r>
                    <w:rPr>
                      <w:sz w:val="21"/>
                    </w:rPr>
                    <w:t>178°，</w:t>
                  </w:r>
                  <w:r>
                    <w:rPr>
                      <w:sz w:val="21"/>
                    </w:rPr>
                    <w:t>至多</w:t>
                  </w:r>
                  <w:r>
                    <w:rPr>
                      <w:sz w:val="21"/>
                    </w:rPr>
                    <w:t>5ms响应，低蓝光调节，升降调节支架，可轴心左右旋转。</w:t>
                  </w:r>
                </w:p>
                <w:p>
                  <w:pPr>
                    <w:jc w:val="left"/>
                  </w:pPr>
                  <w:r>
                    <w:rPr>
                      <w:sz w:val="21"/>
                    </w:rPr>
                    <w:t>1.11、网络同传及硬盘保护功能性：</w:t>
                  </w:r>
                </w:p>
                <w:p>
                  <w:pPr>
                    <w:jc w:val="left"/>
                  </w:pPr>
                  <w:r>
                    <w:rPr>
                      <w:sz w:val="21"/>
                    </w:rPr>
                    <w:t>1.11.1、支持混合硬盘保护，实现跨硬盘安装多系统。</w:t>
                  </w:r>
                </w:p>
                <w:p>
                  <w:pPr>
                    <w:jc w:val="left"/>
                  </w:pPr>
                  <w:r>
                    <w:rPr>
                      <w:sz w:val="21"/>
                    </w:rPr>
                    <w:t>1.11.2、支持双硬盘保护，实现网络同传。</w:t>
                  </w:r>
                </w:p>
                <w:p>
                  <w:pPr>
                    <w:jc w:val="left"/>
                  </w:pPr>
                  <w:r>
                    <w:rPr>
                      <w:sz w:val="21"/>
                    </w:rPr>
                    <w:t>1.11.3、支持虚拟磁盘，防止数据丢失，通过虚拟磁盘功能，加载进度数据，可以拷贝出来。</w:t>
                  </w:r>
                </w:p>
                <w:p>
                  <w:pPr>
                    <w:jc w:val="left"/>
                  </w:pPr>
                  <w:r>
                    <w:rPr>
                      <w:sz w:val="21"/>
                    </w:rPr>
                    <w:t>1.11.4、支持GPT/MBR系统0秒切换不需要设置BIOS直接进入。</w:t>
                  </w:r>
                </w:p>
                <w:p>
                  <w:pPr>
                    <w:jc w:val="left"/>
                  </w:pPr>
                  <w:r>
                    <w:rPr>
                      <w:sz w:val="21"/>
                    </w:rPr>
                    <w:t>1.11.5、最多支持创建64个操作系统，可隐藏操作系统不让使用，支持NTFS/FAT32资料盘自动清除，支持共用分区保护。</w:t>
                  </w:r>
                </w:p>
                <w:p>
                  <w:pPr>
                    <w:jc w:val="left"/>
                  </w:pPr>
                  <w:r>
                    <w:rPr>
                      <w:sz w:val="21"/>
                    </w:rPr>
                    <w:t>1.11.6、可控制学生机是否能上网，或者设定机房内计算机内外网的访问黑白名单，提供良好教学环境。</w:t>
                  </w:r>
                </w:p>
                <w:p>
                  <w:pPr>
                    <w:jc w:val="left"/>
                  </w:pPr>
                  <w:r>
                    <w:rPr>
                      <w:sz w:val="21"/>
                    </w:rPr>
                    <w:t>1.11.7、可远程查看学生机屏幕，对学生进行实时指导。</w:t>
                  </w:r>
                </w:p>
                <w:p>
                  <w:pPr>
                    <w:jc w:val="left"/>
                  </w:pPr>
                  <w:r>
                    <w:rPr>
                      <w:sz w:val="21"/>
                    </w:rPr>
                    <w:t>1.11.8、支持远程屏幕消息广播，及时通知消息，在练习，考试时进行提醒。</w:t>
                  </w:r>
                </w:p>
                <w:p>
                  <w:pPr>
                    <w:jc w:val="left"/>
                  </w:pPr>
                  <w:r>
                    <w:rPr>
                      <w:sz w:val="21"/>
                    </w:rPr>
                    <w:t>1.11.9、支持因病毒攻击、以外文件删除、操作系统损坏/软件损坏、硬件故障造成的数据丢失备份和恢复</w:t>
                  </w:r>
                </w:p>
                <w:p>
                  <w:pPr>
                    <w:jc w:val="left"/>
                  </w:pPr>
                  <w:r>
                    <w:rPr>
                      <w:sz w:val="21"/>
                    </w:rPr>
                    <w:t>▲</w:t>
                  </w:r>
                  <w:r>
                    <w:rPr>
                      <w:sz w:val="21"/>
                    </w:rPr>
                    <w:t>1.12、产品能通过3C认证（提供相关证明材料）</w:t>
                  </w:r>
                </w:p>
              </w:tc>
              <w:tc>
                <w:tcPr>
                  <w:tcW w:type="dxa" w:w="316"/>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384"/>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78"/>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79"/>
                  <w:tcBorders>
                    <w:top w:val="none" w:color="000000" w:sz="4"/>
                    <w:left w:val="single" w:color="000000" w:sz="4"/>
                    <w:bottom w:val="single" w:color="000000" w:sz="4"/>
                    <w:right w:val="single" w:color="000000" w:sz="4"/>
                  </w:tcBorders>
                  <w:vAlign w:val="top"/>
                </w:tcPr>
                <w:p>
                  <w:pPr>
                    <w:jc w:val="center"/>
                  </w:pPr>
                  <w:r>
                    <w:rPr>
                      <w:sz w:val="21"/>
                    </w:rPr>
                    <w:t>图形工作站</w:t>
                  </w:r>
                  <w:r>
                    <w:rPr>
                      <w:sz w:val="21"/>
                    </w:rPr>
                    <w:t>2</w:t>
                  </w:r>
                </w:p>
              </w:tc>
              <w:tc>
                <w:tcPr>
                  <w:tcW w:type="dxa" w:w="4242"/>
                  <w:tcBorders>
                    <w:top w:val="none" w:color="000000" w:sz="4"/>
                    <w:left w:val="single" w:color="000000" w:sz="4"/>
                    <w:bottom w:val="single" w:color="000000" w:sz="4"/>
                    <w:right w:val="single" w:color="000000" w:sz="4"/>
                  </w:tcBorders>
                  <w:vAlign w:val="top"/>
                </w:tcPr>
                <w:p>
                  <w:pPr>
                    <w:jc w:val="left"/>
                  </w:pPr>
                  <w:r>
                    <w:rPr>
                      <w:sz w:val="21"/>
                    </w:rPr>
                    <w:t>★</w:t>
                  </w:r>
                  <w:r>
                    <w:rPr>
                      <w:sz w:val="21"/>
                    </w:rPr>
                    <w:t>1.1</w:t>
                  </w:r>
                  <w:r>
                    <w:rPr>
                      <w:sz w:val="21"/>
                    </w:rPr>
                    <w:t>、</w:t>
                  </w:r>
                  <w:r>
                    <w:rPr>
                      <w:sz w:val="21"/>
                    </w:rPr>
                    <w:t>相当或优于十代</w:t>
                  </w:r>
                  <w:r>
                    <w:rPr>
                      <w:sz w:val="21"/>
                    </w:rPr>
                    <w:t>Intel i5</w:t>
                  </w:r>
                  <w:r>
                    <w:rPr>
                      <w:sz w:val="21"/>
                    </w:rPr>
                    <w:t>处理器</w:t>
                  </w:r>
                  <w:r>
                    <w:rPr>
                      <w:sz w:val="21"/>
                    </w:rPr>
                    <w:t xml:space="preserve"> </w:t>
                  </w:r>
                  <w:r>
                    <w:rPr>
                      <w:sz w:val="21"/>
                    </w:rPr>
                    <w:t>,16M高速缓存缓存，8 核</w:t>
                  </w:r>
                </w:p>
                <w:p>
                  <w:pPr>
                    <w:jc w:val="left"/>
                  </w:pPr>
                  <w:r>
                    <w:rPr>
                      <w:sz w:val="21"/>
                    </w:rPr>
                    <w:t>▲</w:t>
                  </w:r>
                  <w:r>
                    <w:rPr>
                      <w:sz w:val="21"/>
                    </w:rPr>
                    <w:t>1.2、主板:</w:t>
                  </w:r>
                  <w:r>
                    <w:rPr>
                      <w:sz w:val="21"/>
                    </w:rPr>
                    <w:t>相当或优于英特尔</w:t>
                  </w:r>
                  <w:r>
                    <w:rPr>
                      <w:sz w:val="21"/>
                    </w:rPr>
                    <w:t>®</w:t>
                  </w:r>
                  <w:r>
                    <w:rPr>
                      <w:sz w:val="21"/>
                    </w:rPr>
                    <w:t>芯片组</w:t>
                  </w:r>
                </w:p>
                <w:p>
                  <w:pPr>
                    <w:jc w:val="left"/>
                  </w:pPr>
                  <w:r>
                    <w:rPr>
                      <w:sz w:val="21"/>
                    </w:rPr>
                    <w:t>1.3、最高可配4个2.5 英寸或者3个3.5英寸，2个M.2 SSD插槽</w:t>
                  </w:r>
                </w:p>
                <w:p>
                  <w:pPr>
                    <w:jc w:val="left"/>
                  </w:pPr>
                  <w:r>
                    <w:rPr>
                      <w:sz w:val="21"/>
                    </w:rPr>
                    <w:t>可支持一个超高速驱动器（</w:t>
                  </w:r>
                  <w:r>
                    <w:rPr>
                      <w:sz w:val="21"/>
                    </w:rPr>
                    <w:t>x8）的PCI-e硬盘，本次配置1个256 SSD +1T机械</w:t>
                  </w:r>
                  <w:r>
                    <w:rPr>
                      <w:sz w:val="21"/>
                    </w:rPr>
                    <w:t>硬盘或优于</w:t>
                  </w:r>
                </w:p>
                <w:p>
                  <w:pPr>
                    <w:jc w:val="left"/>
                  </w:pPr>
                  <w:r>
                    <w:rPr>
                      <w:sz w:val="21"/>
                    </w:rPr>
                    <w:t>▲</w:t>
                  </w:r>
                  <w:r>
                    <w:rPr>
                      <w:sz w:val="21"/>
                    </w:rPr>
                    <w:t>1.4、内存：</w:t>
                  </w:r>
                  <w:r>
                    <w:rPr>
                      <w:sz w:val="21"/>
                    </w:rPr>
                    <w:t>≥8G DDR4 2933MHz</w:t>
                  </w:r>
                  <w:r>
                    <w:rPr>
                      <w:sz w:val="21"/>
                    </w:rPr>
                    <w:t>，可支持内存硬件防错技术，标记坏死扇区，通过重启移除故障延长使用寿命。</w:t>
                  </w:r>
                </w:p>
                <w:p>
                  <w:pPr>
                    <w:jc w:val="left"/>
                  </w:pPr>
                  <w:r>
                    <w:rPr>
                      <w:sz w:val="21"/>
                    </w:rPr>
                    <w:t>★</w:t>
                  </w:r>
                  <w:r>
                    <w:rPr>
                      <w:sz w:val="21"/>
                    </w:rPr>
                    <w:t>1.5、专业显卡：</w:t>
                  </w:r>
                  <w:r>
                    <w:rPr>
                      <w:sz w:val="21"/>
                    </w:rPr>
                    <w:t>≥4GB独立显卡</w:t>
                  </w:r>
                  <w:r>
                    <w:rPr>
                      <w:sz w:val="21"/>
                    </w:rPr>
                    <w:t>。</w:t>
                  </w:r>
                </w:p>
                <w:p>
                  <w:pPr>
                    <w:jc w:val="left"/>
                  </w:pPr>
                  <w:r>
                    <w:rPr>
                      <w:sz w:val="21"/>
                    </w:rPr>
                    <w:t>▲</w:t>
                  </w:r>
                  <w:r>
                    <w:rPr>
                      <w:sz w:val="21"/>
                    </w:rPr>
                    <w:t>1.6、主机电源：</w:t>
                  </w:r>
                  <w:r>
                    <w:rPr>
                      <w:sz w:val="21"/>
                    </w:rPr>
                    <w:t>能效高达</w:t>
                  </w:r>
                  <w:r>
                    <w:rPr>
                      <w:sz w:val="21"/>
                    </w:rPr>
                    <w:t>85%（能通过铜牌认证</w:t>
                  </w:r>
                  <w:r>
                    <w:rPr>
                      <w:sz w:val="21"/>
                    </w:rPr>
                    <w:t>，电源自带故障诊断灯，带自检开关）</w:t>
                  </w:r>
                </w:p>
                <w:p>
                  <w:pPr>
                    <w:jc w:val="left"/>
                  </w:pPr>
                  <w:r>
                    <w:rPr>
                      <w:sz w:val="21"/>
                    </w:rPr>
                    <w:t>1.7、接口和插槽：11个 USB 端口（6*USB3.1，并自带一个快速充电USB接口，包括Type-c接口），2个 半高PCIe x16 ，2个 半高PCIe x1，1个用于可选无线网卡的M.2 2230，一个用于存储硬盘的M.2 2280。</w:t>
                  </w:r>
                </w:p>
                <w:p>
                  <w:pPr>
                    <w:jc w:val="left"/>
                  </w:pPr>
                  <w:r>
                    <w:rPr>
                      <w:sz w:val="21"/>
                    </w:rPr>
                    <w:t>1.8、网络同传：网络同传+硬盘保护。</w:t>
                  </w:r>
                </w:p>
                <w:p>
                  <w:pPr>
                    <w:jc w:val="left"/>
                  </w:pPr>
                  <w:r>
                    <w:rPr>
                      <w:sz w:val="21"/>
                    </w:rPr>
                    <w:t>1.9、键盘与鼠标  标准配置USB抗菌键盘与鼠标，抗菌率不低于99%。</w:t>
                  </w:r>
                </w:p>
                <w:p>
                  <w:pPr>
                    <w:jc w:val="left"/>
                  </w:pPr>
                  <w:r>
                    <w:rPr>
                      <w:sz w:val="21"/>
                    </w:rPr>
                    <w:t>1.10、显示器：同一品牌23.8"宽屏</w:t>
                  </w:r>
                  <w:r>
                    <w:rPr>
                      <w:sz w:val="21"/>
                    </w:rPr>
                    <w:t>或优于</w:t>
                  </w:r>
                  <w:r>
                    <w:rPr>
                      <w:sz w:val="21"/>
                    </w:rPr>
                    <w:t>，</w:t>
                  </w:r>
                  <w:r>
                    <w:rPr>
                      <w:sz w:val="21"/>
                    </w:rPr>
                    <w:t>16:9 IPS面板，1920x1080分辨率</w:t>
                  </w:r>
                  <w:r>
                    <w:rPr>
                      <w:sz w:val="21"/>
                    </w:rPr>
                    <w:t>或优于</w:t>
                  </w:r>
                  <w:r>
                    <w:rPr>
                      <w:sz w:val="21"/>
                    </w:rPr>
                    <w:t>，</w:t>
                  </w:r>
                  <w:r>
                    <w:rPr>
                      <w:sz w:val="21"/>
                    </w:rPr>
                    <w:t>可视角度</w:t>
                  </w:r>
                  <w:r>
                    <w:rPr>
                      <w:sz w:val="21"/>
                    </w:rPr>
                    <w:t>≥</w:t>
                  </w:r>
                  <w:r>
                    <w:rPr>
                      <w:sz w:val="21"/>
                    </w:rPr>
                    <w:t>178°，</w:t>
                  </w:r>
                  <w:r>
                    <w:rPr>
                      <w:sz w:val="21"/>
                    </w:rPr>
                    <w:t>至多</w:t>
                  </w:r>
                  <w:r>
                    <w:rPr>
                      <w:sz w:val="21"/>
                    </w:rPr>
                    <w:t>5ms响应，低蓝光调节，升降调节支架，可轴心左右旋转。</w:t>
                  </w:r>
                </w:p>
                <w:p>
                  <w:pPr>
                    <w:jc w:val="left"/>
                  </w:pPr>
                  <w:r>
                    <w:rPr>
                      <w:sz w:val="21"/>
                    </w:rPr>
                    <w:t>1.11、网络同传及硬盘保护功能性：</w:t>
                  </w:r>
                </w:p>
                <w:p>
                  <w:pPr>
                    <w:jc w:val="left"/>
                  </w:pPr>
                  <w:r>
                    <w:rPr>
                      <w:sz w:val="21"/>
                    </w:rPr>
                    <w:t>1.11.1、支持混合硬盘保护，实现跨硬盘安装多系统。</w:t>
                  </w:r>
                </w:p>
                <w:p>
                  <w:pPr>
                    <w:jc w:val="left"/>
                  </w:pPr>
                  <w:r>
                    <w:rPr>
                      <w:sz w:val="21"/>
                    </w:rPr>
                    <w:t>1.11.2、支持双硬盘保护，实现网络同传。</w:t>
                  </w:r>
                </w:p>
                <w:p>
                  <w:pPr>
                    <w:jc w:val="left"/>
                  </w:pPr>
                  <w:r>
                    <w:rPr>
                      <w:sz w:val="21"/>
                    </w:rPr>
                    <w:t>1.11.3、支持虚拟磁盘，防止数据丢失，通过虚拟磁盘功能，加载进度数据，可以拷贝出来。</w:t>
                  </w:r>
                </w:p>
                <w:p>
                  <w:pPr>
                    <w:jc w:val="left"/>
                  </w:pPr>
                  <w:r>
                    <w:rPr>
                      <w:sz w:val="21"/>
                    </w:rPr>
                    <w:t>1.11.4、支持GPT/MBR系统0秒切换不需要设置BIOS直接进入。</w:t>
                  </w:r>
                </w:p>
                <w:p>
                  <w:pPr>
                    <w:jc w:val="left"/>
                  </w:pPr>
                  <w:r>
                    <w:rPr>
                      <w:sz w:val="21"/>
                    </w:rPr>
                    <w:t>1.11.5、最多支持创建64个操作系统，可隐藏操作系统不让使用，支持NTFS/FAT32资料盘自动清除，支持共用分区保护。</w:t>
                  </w:r>
                </w:p>
                <w:p>
                  <w:pPr>
                    <w:jc w:val="left"/>
                  </w:pPr>
                  <w:r>
                    <w:rPr>
                      <w:sz w:val="21"/>
                    </w:rPr>
                    <w:t>1.11.6、可控制学生机是否能上网，或者设定机房内计算机内外网的访问黑白名单，提供良好教学环境。</w:t>
                  </w:r>
                </w:p>
                <w:p>
                  <w:pPr>
                    <w:jc w:val="left"/>
                  </w:pPr>
                  <w:r>
                    <w:rPr>
                      <w:sz w:val="21"/>
                    </w:rPr>
                    <w:t>1.11.7、可远程查看学生机屏幕，对学生进行实时指导。</w:t>
                  </w:r>
                </w:p>
                <w:p>
                  <w:pPr>
                    <w:jc w:val="left"/>
                  </w:pPr>
                  <w:r>
                    <w:rPr>
                      <w:sz w:val="21"/>
                    </w:rPr>
                    <w:t>1.11.8、支持远程屏幕消息广播，及时通知消息，在练习，考试时进行提醒。</w:t>
                  </w:r>
                </w:p>
                <w:p>
                  <w:pPr>
                    <w:jc w:val="left"/>
                  </w:pPr>
                  <w:r>
                    <w:rPr>
                      <w:sz w:val="21"/>
                    </w:rPr>
                    <w:t>1.11.9、支持因病毒攻击、以外文件删除、操作系统损坏/软件损坏、硬件故障造成的数据丢失备份和恢复</w:t>
                  </w:r>
                </w:p>
                <w:p>
                  <w:pPr>
                    <w:jc w:val="left"/>
                  </w:pPr>
                  <w:r>
                    <w:rPr>
                      <w:sz w:val="21"/>
                    </w:rPr>
                    <w:t>▲</w:t>
                  </w:r>
                  <w:r>
                    <w:rPr>
                      <w:sz w:val="21"/>
                    </w:rPr>
                    <w:t>1.12、产品能通过3C认证（提供相关证明材料）</w:t>
                  </w:r>
                </w:p>
              </w:tc>
              <w:tc>
                <w:tcPr>
                  <w:tcW w:type="dxa" w:w="316"/>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384"/>
                  <w:tcBorders>
                    <w:top w:val="none" w:color="000000" w:sz="4"/>
                    <w:left w:val="single" w:color="000000" w:sz="4"/>
                    <w:bottom w:val="single" w:color="000000" w:sz="4"/>
                    <w:right w:val="single" w:color="000000" w:sz="4"/>
                  </w:tcBorders>
                  <w:vAlign w:val="top"/>
                </w:tcPr>
                <w:p>
                  <w:pPr>
                    <w:jc w:val="center"/>
                  </w:pPr>
                  <w:r>
                    <w:rPr>
                      <w:sz w:val="21"/>
                    </w:rPr>
                    <w:t>50</w:t>
                  </w:r>
                </w:p>
              </w:tc>
            </w:tr>
          </w:tbl>
          <w:p>
            <w:pPr>
              <w:jc w:val="both"/>
            </w:pPr>
          </w:p>
          <w:p>
            <w:pPr>
              <w:jc w:val="both"/>
            </w:pPr>
          </w:p>
          <w:p/>
          <w:p/>
          <w:p>
            <w:r>
              <w:rPr/>
              <w:t xml:space="preserve"> </w:t>
            </w:r>
          </w:p>
          <w:p>
            <w:pPr>
              <w:jc w:val="left"/>
            </w:pPr>
            <w:r>
              <w:rPr>
                <w:b/>
                <w:sz w:val="28"/>
              </w:rPr>
              <w:t>4、采购项目需求描述</w:t>
            </w:r>
          </w:p>
          <w:p>
            <w:pPr>
              <w:jc w:val="left"/>
            </w:pPr>
            <w:r>
              <w:rPr>
                <w:sz w:val="24"/>
              </w:rPr>
              <w:t>（一）高水平学校建设专项培训与指导咨询服务</w:t>
            </w:r>
          </w:p>
          <w:tbl>
            <w:tblPr>
              <w:tblBorders>
                <w:top w:val="none" w:color="000000" w:sz="4"/>
                <w:left w:val="none" w:color="000000" w:sz="4"/>
                <w:bottom w:val="none" w:color="000000" w:sz="4"/>
                <w:right w:val="none" w:color="000000" w:sz="4"/>
                <w:insideH w:val="none"/>
                <w:insideV w:val="none"/>
              </w:tblBorders>
            </w:tblPr>
            <w:tblGrid>
              <w:gridCol w:w="427"/>
              <w:gridCol w:w="540"/>
              <w:gridCol w:w="4630"/>
            </w:tblGrid>
            <w:tr>
              <w:tc>
                <w:tcPr>
                  <w:tcW w:type="dxa" w:w="967"/>
                  <w:gridSpan w:val="2"/>
                  <w:tcBorders>
                    <w:top w:val="single" w:color="000000" w:sz="4"/>
                    <w:left w:val="single" w:color="000000" w:sz="4"/>
                    <w:bottom w:val="single" w:color="000000" w:sz="4"/>
                    <w:right w:val="single" w:color="000000" w:sz="4"/>
                  </w:tcBorders>
                  <w:vAlign w:val="top"/>
                </w:tcPr>
                <w:p>
                  <w:pPr>
                    <w:jc w:val="center"/>
                  </w:pPr>
                  <w:r>
                    <w:rPr>
                      <w:b/>
                      <w:sz w:val="24"/>
                    </w:rPr>
                    <w:t>服务项目</w:t>
                  </w:r>
                </w:p>
              </w:tc>
              <w:tc>
                <w:tcPr>
                  <w:tcW w:type="dxa" w:w="4630"/>
                  <w:tcBorders>
                    <w:top w:val="single" w:color="000000" w:sz="4"/>
                    <w:left w:val="single" w:color="000000" w:sz="4"/>
                    <w:bottom w:val="single" w:color="000000" w:sz="4"/>
                    <w:right w:val="single" w:color="000000" w:sz="4"/>
                  </w:tcBorders>
                  <w:vAlign w:val="top"/>
                </w:tcPr>
                <w:p>
                  <w:pPr>
                    <w:jc w:val="center"/>
                  </w:pPr>
                  <w:r>
                    <w:rPr>
                      <w:b/>
                      <w:sz w:val="24"/>
                    </w:rPr>
                    <w:t>服务项目要求</w:t>
                  </w:r>
                </w:p>
              </w:tc>
            </w:tr>
            <w:tr>
              <w:tc>
                <w:tcPr>
                  <w:tcW w:type="dxa" w:w="427"/>
                  <w:vMerge w:val="restart"/>
                  <w:tcBorders>
                    <w:top w:val="none" w:color="000000" w:sz="4"/>
                    <w:left w:val="single" w:color="000000" w:sz="4"/>
                    <w:bottom w:val="single" w:color="000000" w:sz="4"/>
                    <w:right w:val="single" w:color="000000" w:sz="4"/>
                  </w:tcBorders>
                  <w:vAlign w:val="top"/>
                </w:tcPr>
                <w:p>
                  <w:pPr>
                    <w:jc w:val="center"/>
                  </w:pPr>
                  <w:r>
                    <w:rPr>
                      <w:b/>
                      <w:sz w:val="24"/>
                    </w:rPr>
                    <w:t>高水平学校建设专项培训与指导咨询服务（</w:t>
                  </w:r>
                  <w:r>
                    <w:rPr>
                      <w:b/>
                      <w:sz w:val="24"/>
                    </w:rPr>
                    <w:t>1年）</w:t>
                  </w:r>
                </w:p>
              </w:tc>
              <w:tc>
                <w:tcPr>
                  <w:tcW w:type="dxa" w:w="540"/>
                  <w:vMerge w:val="restart"/>
                  <w:tcBorders>
                    <w:top w:val="none" w:color="000000" w:sz="4"/>
                    <w:left w:val="single" w:color="000000" w:sz="4"/>
                    <w:bottom w:val="single" w:color="000000" w:sz="4"/>
                    <w:right w:val="single" w:color="000000" w:sz="4"/>
                  </w:tcBorders>
                  <w:vAlign w:val="top"/>
                </w:tcPr>
                <w:p>
                  <w:pPr>
                    <w:jc w:val="center"/>
                  </w:pPr>
                  <w:r>
                    <w:rPr>
                      <w:b/>
                      <w:sz w:val="24"/>
                    </w:rPr>
                    <w:t>召开高水平学校建设专项管理培训会议</w:t>
                  </w:r>
                </w:p>
              </w:tc>
              <w:tc>
                <w:tcPr>
                  <w:tcW w:type="dxa" w:w="4630"/>
                  <w:tcBorders>
                    <w:top w:val="single" w:color="000000" w:sz="4"/>
                    <w:left w:val="single" w:color="000000" w:sz="4"/>
                    <w:bottom w:val="single" w:color="000000" w:sz="4"/>
                    <w:right w:val="single" w:color="000000" w:sz="4"/>
                  </w:tcBorders>
                  <w:vAlign w:val="top"/>
                </w:tcPr>
                <w:p>
                  <w:pPr>
                    <w:jc w:val="left"/>
                  </w:pPr>
                  <w:r>
                    <w:rPr>
                      <w:b/>
                      <w:sz w:val="24"/>
                    </w:rPr>
                    <w:t>一、服务内容与要求：</w:t>
                  </w:r>
                </w:p>
                <w:p>
                  <w:pPr>
                    <w:jc w:val="both"/>
                  </w:pPr>
                  <w:r>
                    <w:rPr>
                      <w:sz w:val="24"/>
                    </w:rPr>
                    <w:t>组织校级领导、各职能部门负责人、会计事务专业群负责人与专任教师等，聘请</w:t>
                  </w:r>
                  <w:r>
                    <w:rPr>
                      <w:sz w:val="24"/>
                    </w:rPr>
                    <w:t>1位具有高水平学校建设管控经验的教育专家，召开1次高水平学校建设规划指导与管理培训会议。</w:t>
                  </w:r>
                </w:p>
              </w:tc>
            </w:tr>
            <w:tr>
              <w:tc>
                <w:tcPr>
                  <w:tcW w:type="dxa" w:w="427"/>
                  <w:vMerge/>
                  <w:tcBorders>
                    <w:top w:val="none" w:color="000000" w:sz="4"/>
                    <w:left w:val="single" w:color="000000" w:sz="4"/>
                    <w:bottom w:val="single" w:color="000000" w:sz="4"/>
                    <w:right w:val="single" w:color="000000" w:sz="4"/>
                  </w:tcBorders>
                </w:tcPr>
                <w:p/>
              </w:tc>
              <w:tc>
                <w:tcPr>
                  <w:tcW w:type="dxa" w:w="540"/>
                  <w:vMerge/>
                  <w:tcBorders>
                    <w:top w:val="none" w:color="000000" w:sz="4"/>
                    <w:left w:val="single" w:color="000000" w:sz="4"/>
                    <w:bottom w:val="single" w:color="000000" w:sz="4"/>
                    <w:right w:val="single" w:color="000000" w:sz="4"/>
                  </w:tcBorders>
                </w:tcPr>
                <w:p/>
              </w:tc>
              <w:tc>
                <w:tcPr>
                  <w:tcW w:type="dxa" w:w="4630"/>
                  <w:tcBorders>
                    <w:top w:val="none" w:color="000000" w:sz="4"/>
                    <w:left w:val="single" w:color="000000" w:sz="4"/>
                    <w:bottom w:val="single" w:color="000000" w:sz="4"/>
                    <w:right w:val="single" w:color="000000" w:sz="4"/>
                  </w:tcBorders>
                  <w:vAlign w:val="top"/>
                </w:tcPr>
                <w:p>
                  <w:pPr>
                    <w:jc w:val="left"/>
                  </w:pPr>
                  <w:r>
                    <w:rPr>
                      <w:b/>
                      <w:sz w:val="24"/>
                    </w:rPr>
                    <w:t>二、输出成果：</w:t>
                  </w:r>
                </w:p>
                <w:p>
                  <w:pPr>
                    <w:jc w:val="left"/>
                  </w:pPr>
                  <w:r>
                    <w:rPr>
                      <w:sz w:val="24"/>
                    </w:rPr>
                    <w:t>高水平学校建设专项管理培训</w:t>
                  </w:r>
                  <w:r>
                    <w:rPr>
                      <w:sz w:val="24"/>
                    </w:rPr>
                    <w:t>PPT</w:t>
                  </w:r>
                </w:p>
                <w:p>
                  <w:pPr>
                    <w:jc w:val="left"/>
                  </w:pPr>
                  <w:r>
                    <w:rPr>
                      <w:sz w:val="24"/>
                    </w:rPr>
                    <w:t>高水平学校建设专项管理培训会</w:t>
                  </w:r>
                </w:p>
                <w:p>
                  <w:pPr>
                    <w:jc w:val="left"/>
                  </w:pPr>
                  <w:r>
                    <w:rPr>
                      <w:sz w:val="24"/>
                    </w:rPr>
                    <w:t>高水平学校建设管控教育专家</w:t>
                  </w:r>
                  <w:r>
                    <w:rPr>
                      <w:sz w:val="24"/>
                    </w:rPr>
                    <w:t>*1</w:t>
                  </w:r>
                </w:p>
              </w:tc>
            </w:tr>
            <w:tr>
              <w:tc>
                <w:tcPr>
                  <w:tcW w:type="dxa" w:w="427"/>
                  <w:vMerge/>
                  <w:tcBorders>
                    <w:top w:val="none" w:color="000000" w:sz="4"/>
                    <w:left w:val="single" w:color="000000" w:sz="4"/>
                    <w:bottom w:val="single" w:color="000000" w:sz="4"/>
                    <w:right w:val="single" w:color="000000" w:sz="4"/>
                  </w:tcBorders>
                </w:tcPr>
                <w:p/>
              </w:tc>
              <w:tc>
                <w:tcPr>
                  <w:tcW w:type="dxa" w:w="540"/>
                  <w:vMerge w:val="restart"/>
                  <w:tcBorders>
                    <w:top w:val="none" w:color="000000" w:sz="4"/>
                    <w:left w:val="single" w:color="000000" w:sz="4"/>
                    <w:bottom w:val="single" w:color="000000" w:sz="4"/>
                    <w:right w:val="single" w:color="000000" w:sz="4"/>
                  </w:tcBorders>
                  <w:vAlign w:val="top"/>
                </w:tcPr>
                <w:p>
                  <w:pPr>
                    <w:jc w:val="center"/>
                  </w:pPr>
                  <w:r>
                    <w:rPr>
                      <w:b/>
                      <w:sz w:val="24"/>
                    </w:rPr>
                    <w:t>半年度、年度专家评审指导</w:t>
                  </w:r>
                </w:p>
              </w:tc>
              <w:tc>
                <w:tcPr>
                  <w:tcW w:type="dxa" w:w="4630"/>
                  <w:tcBorders>
                    <w:top w:val="none" w:color="000000" w:sz="4"/>
                    <w:left w:val="single" w:color="000000" w:sz="4"/>
                    <w:bottom w:val="single" w:color="000000" w:sz="4"/>
                    <w:right w:val="single" w:color="000000" w:sz="4"/>
                  </w:tcBorders>
                  <w:vAlign w:val="top"/>
                </w:tcPr>
                <w:p>
                  <w:pPr>
                    <w:jc w:val="left"/>
                  </w:pPr>
                  <w:r>
                    <w:rPr>
                      <w:b/>
                      <w:sz w:val="24"/>
                    </w:rPr>
                    <w:t>一、服务内容与要求：</w:t>
                  </w:r>
                </w:p>
                <w:p>
                  <w:pPr>
                    <w:jc w:val="left"/>
                  </w:pPr>
                  <w:r>
                    <w:rPr>
                      <w:sz w:val="24"/>
                    </w:rPr>
                    <w:t>邀请</w:t>
                  </w:r>
                  <w:r>
                    <w:rPr>
                      <w:sz w:val="24"/>
                    </w:rPr>
                    <w:t>1位教育专家对标学校高水平建设的季度、年度任务及验收标准，在资料文件的框架体系、格式规范、注意事项、分类逻辑、阶段成果与佐证材料是否齐全等方面进行半年度、年度审查，提供项目实施、文件规范、验收要求等方面的优化意见，并针对年度总结报告进行评审。每学期召开1场线上专家评审结果反馈交流会议，以及年度评审前，召开1场线下专家评审指导交流会议。</w:t>
                  </w:r>
                </w:p>
              </w:tc>
            </w:tr>
            <w:tr>
              <w:tc>
                <w:tcPr>
                  <w:tcW w:type="dxa" w:w="427"/>
                  <w:vMerge/>
                  <w:tcBorders>
                    <w:top w:val="none" w:color="000000" w:sz="4"/>
                    <w:left w:val="single" w:color="000000" w:sz="4"/>
                    <w:bottom w:val="single" w:color="000000" w:sz="4"/>
                    <w:right w:val="single" w:color="000000" w:sz="4"/>
                  </w:tcBorders>
                </w:tcPr>
                <w:p/>
              </w:tc>
              <w:tc>
                <w:tcPr>
                  <w:tcW w:type="dxa" w:w="540"/>
                  <w:vMerge/>
                  <w:tcBorders>
                    <w:top w:val="none" w:color="000000" w:sz="4"/>
                    <w:left w:val="single" w:color="000000" w:sz="4"/>
                    <w:bottom w:val="single" w:color="000000" w:sz="4"/>
                    <w:right w:val="single" w:color="000000" w:sz="4"/>
                  </w:tcBorders>
                </w:tcPr>
                <w:p/>
              </w:tc>
              <w:tc>
                <w:tcPr>
                  <w:tcW w:type="dxa" w:w="4630"/>
                  <w:tcBorders>
                    <w:top w:val="none" w:color="000000" w:sz="4"/>
                    <w:left w:val="single" w:color="000000" w:sz="4"/>
                    <w:bottom w:val="single" w:color="000000" w:sz="4"/>
                    <w:right w:val="single" w:color="000000" w:sz="4"/>
                  </w:tcBorders>
                  <w:vAlign w:val="top"/>
                </w:tcPr>
                <w:p>
                  <w:pPr>
                    <w:jc w:val="left"/>
                  </w:pPr>
                  <w:r>
                    <w:rPr>
                      <w:b/>
                      <w:sz w:val="24"/>
                    </w:rPr>
                    <w:t>二、输出成果：</w:t>
                  </w:r>
                </w:p>
                <w:p>
                  <w:pPr>
                    <w:jc w:val="left"/>
                  </w:pPr>
                  <w:r>
                    <w:rPr>
                      <w:sz w:val="24"/>
                    </w:rPr>
                    <w:t>高水平中职学校资料框架体系线上培训会议</w:t>
                  </w:r>
                </w:p>
                <w:p>
                  <w:pPr>
                    <w:jc w:val="left"/>
                  </w:pPr>
                  <w:r>
                    <w:rPr>
                      <w:sz w:val="24"/>
                    </w:rPr>
                    <w:t>高水平中职学校建设半年度专家评审结果反馈交流线上会议</w:t>
                  </w:r>
                  <w:r>
                    <w:rPr>
                      <w:sz w:val="24"/>
                    </w:rPr>
                    <w:t>*2</w:t>
                  </w:r>
                </w:p>
                <w:p>
                  <w:pPr>
                    <w:jc w:val="left"/>
                  </w:pPr>
                  <w:r>
                    <w:rPr>
                      <w:sz w:val="24"/>
                    </w:rPr>
                    <w:t>专业群建设半年度专家评审结果反馈交流线上会议</w:t>
                  </w:r>
                  <w:r>
                    <w:rPr>
                      <w:sz w:val="24"/>
                    </w:rPr>
                    <w:t>*2</w:t>
                  </w:r>
                </w:p>
                <w:p>
                  <w:pPr>
                    <w:jc w:val="left"/>
                  </w:pPr>
                  <w:r>
                    <w:rPr>
                      <w:sz w:val="24"/>
                    </w:rPr>
                    <w:t>半年度评审教育专家</w:t>
                  </w:r>
                  <w:r>
                    <w:rPr>
                      <w:sz w:val="24"/>
                    </w:rPr>
                    <w:t>*4</w:t>
                  </w:r>
                </w:p>
                <w:p>
                  <w:pPr>
                    <w:jc w:val="left"/>
                  </w:pPr>
                  <w:r>
                    <w:rPr>
                      <w:sz w:val="24"/>
                    </w:rPr>
                    <w:t>年度专家评审指导线下交流会议</w:t>
                  </w:r>
                </w:p>
                <w:p>
                  <w:pPr>
                    <w:jc w:val="left"/>
                  </w:pPr>
                  <w:r>
                    <w:rPr>
                      <w:sz w:val="24"/>
                    </w:rPr>
                    <w:t>年度评审教育专家</w:t>
                  </w:r>
                  <w:r>
                    <w:rPr>
                      <w:sz w:val="24"/>
                    </w:rPr>
                    <w:t>*2</w:t>
                  </w:r>
                </w:p>
                <w:p>
                  <w:pPr>
                    <w:jc w:val="left"/>
                  </w:pPr>
                  <w:r>
                    <w:rPr>
                      <w:sz w:val="24"/>
                    </w:rPr>
                    <w:t>年度总结报告评审</w:t>
                  </w:r>
                </w:p>
              </w:tc>
            </w:tr>
          </w:tbl>
          <w:p>
            <w:pPr>
              <w:jc w:val="left"/>
            </w:pPr>
            <w:r>
              <w:rPr>
                <w:sz w:val="24"/>
              </w:rPr>
              <w:t>（二）</w:t>
            </w:r>
            <w:r>
              <w:rPr>
                <w:sz w:val="24"/>
              </w:rPr>
              <w:t>专业群组群大数据分析</w:t>
            </w:r>
          </w:p>
          <w:tbl>
            <w:tblPr>
              <w:tblBorders>
                <w:top w:val="none" w:color="000000" w:sz="4"/>
                <w:left w:val="none" w:color="000000" w:sz="4"/>
                <w:bottom w:val="none" w:color="000000" w:sz="4"/>
                <w:right w:val="none" w:color="000000" w:sz="4"/>
                <w:insideH w:val="none"/>
                <w:insideV w:val="none"/>
              </w:tblBorders>
            </w:tblPr>
            <w:tblGrid>
              <w:gridCol w:w="801"/>
              <w:gridCol w:w="4796"/>
            </w:tblGrid>
            <w:tr>
              <w:tc>
                <w:tcPr>
                  <w:tcW w:type="dxa" w:w="801"/>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796"/>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801"/>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专业群组群大数据分析</w:t>
                  </w:r>
                </w:p>
              </w:tc>
              <w:tc>
                <w:tcPr>
                  <w:tcW w:type="dxa" w:w="4796"/>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大数据中心根据学校发展战略、专业现状及专业群方向，利用大数据、人工智能技术，分析区域产业发展特性及产业人才需求、产业发展趋势，面向产业链的关键节点，聚焦行业核心技术，明确对应的岗位群，全面分析产业链</w:t>
                  </w:r>
                  <w:r>
                    <w:rPr>
                      <w:sz w:val="24"/>
                    </w:rPr>
                    <w:t>-技术链-人才链与专业群内各专业的对接关系综合分析组群契合度，形成科学合理的组群模式。</w:t>
                  </w:r>
                </w:p>
                <w:p>
                  <w:pPr>
                    <w:jc w:val="both"/>
                  </w:pPr>
                  <w:r>
                    <w:rPr>
                      <w:b/>
                      <w:sz w:val="24"/>
                    </w:rPr>
                    <w:t>1.组群方向相关产业链分析（核心、关联、衍生产业）：</w:t>
                  </w:r>
                </w:p>
                <w:p>
                  <w:pPr>
                    <w:jc w:val="both"/>
                  </w:pPr>
                  <w:r>
                    <w:rPr>
                      <w:sz w:val="24"/>
                    </w:rPr>
                    <w:t>应用人工智能中的知识图谱技术，构建组群方向直接面向的核心产业、行业关联的纵向产业及中间衍生产业的产业链知识图谱，对组群方向的产业经济构成现状有宏观的认知，及把握相关产业发展趋势。</w:t>
                  </w:r>
                </w:p>
                <w:p>
                  <w:pPr>
                    <w:jc w:val="both"/>
                  </w:pPr>
                  <w:r>
                    <w:rPr>
                      <w:b/>
                      <w:sz w:val="24"/>
                    </w:rPr>
                    <w:t>2.产业链各领域关键技术分析：</w:t>
                  </w:r>
                </w:p>
                <w:p>
                  <w:pPr>
                    <w:jc w:val="both"/>
                  </w:pPr>
                  <w:r>
                    <w:rPr>
                      <w:sz w:val="24"/>
                    </w:rPr>
                    <w:t>结合行业研究人员（专家）的先验知识，辅助以互联网大数据构建产业链</w:t>
                  </w:r>
                  <w:r>
                    <w:rPr>
                      <w:sz w:val="24"/>
                    </w:rPr>
                    <w:t>-技术链知识图谱，聚焦技术链、聚焦核心技术，精准对接人才培养技能目标和专业群技术服务定位。</w:t>
                  </w:r>
                </w:p>
                <w:p>
                  <w:pPr>
                    <w:jc w:val="both"/>
                  </w:pPr>
                  <w:r>
                    <w:rPr>
                      <w:b/>
                      <w:sz w:val="24"/>
                    </w:rPr>
                    <w:t>3.技术链对应的人才链分析（关键技术对应的岗位分析）：</w:t>
                  </w:r>
                </w:p>
                <w:p>
                  <w:pPr>
                    <w:jc w:val="both"/>
                  </w:pPr>
                  <w:r>
                    <w:rPr>
                      <w:sz w:val="24"/>
                    </w:rPr>
                    <w:t>应用大数据技术，从海量的行业人才需求数据，分析挖掘出职业岗位序列的核心技术与要求，并按知识、技能、技术等维度描述归纳岗位任职要求的关键技术。</w:t>
                  </w:r>
                </w:p>
                <w:p>
                  <w:pPr>
                    <w:jc w:val="both"/>
                  </w:pPr>
                  <w:r>
                    <w:rPr>
                      <w:b/>
                      <w:sz w:val="24"/>
                    </w:rPr>
                    <w:t>4.专业群画像分析：</w:t>
                  </w:r>
                </w:p>
                <w:p>
                  <w:pPr>
                    <w:jc w:val="both"/>
                  </w:pPr>
                  <w:r>
                    <w:rPr>
                      <w:sz w:val="24"/>
                    </w:rPr>
                    <w:t>通过学校提供的专业人才培养方案、课程标准等文件，以及前期数据采集，了解学校专业建设基础，把握目前各专业的培养目标（包括对应行业、主要职业、主要工作领域与就业岗位）、人才培养规格（知识、技能、素质）、课程体系、未来建设规划等，搭建专业群画像。</w:t>
                  </w:r>
                </w:p>
                <w:p>
                  <w:pPr>
                    <w:jc w:val="both"/>
                  </w:pPr>
                  <w:r>
                    <w:rPr>
                      <w:b/>
                      <w:sz w:val="24"/>
                    </w:rPr>
                    <w:t>5.</w:t>
                  </w:r>
                  <w:r>
                    <w:rPr>
                      <w:sz w:val="24"/>
                    </w:rPr>
                    <w:t>▲</w:t>
                  </w:r>
                  <w:r>
                    <w:rPr>
                      <w:b/>
                      <w:sz w:val="24"/>
                    </w:rPr>
                    <w:t>群内专业关联岗位分析：</w:t>
                  </w:r>
                </w:p>
                <w:p>
                  <w:pPr>
                    <w:jc w:val="both"/>
                  </w:pPr>
                  <w:r>
                    <w:rPr>
                      <w:sz w:val="24"/>
                    </w:rPr>
                    <w:t>基于人工智能技术，结合现有专业画像及专业未来规划，利用</w:t>
                  </w:r>
                  <w:r>
                    <w:rPr>
                      <w:sz w:val="24"/>
                    </w:rPr>
                    <w:t>ERNIE预训练分类模型，针对目标岗位画像，以知识、要求、方法、技能、工具为本位，运用专业关联岗位模型，进行专业群与岗位群的关联匹配分析，实现目标岗位群的精准对接。</w:t>
                  </w:r>
                  <w:r>
                    <w:rPr>
                      <w:sz w:val="24"/>
                    </w:rPr>
                    <w:t>（</w:t>
                  </w:r>
                  <w:r>
                    <w:rPr>
                      <w:b/>
                      <w:sz w:val="24"/>
                    </w:rPr>
                    <w:t>投标</w:t>
                  </w:r>
                  <w:r>
                    <w:rPr>
                      <w:b/>
                      <w:sz w:val="24"/>
                    </w:rPr>
                    <w:t>文件中提供相关截图证明，并加盖供应商公章，否则，按负偏离响应处理</w:t>
                  </w:r>
                  <w:r>
                    <w:rPr>
                      <w:sz w:val="24"/>
                    </w:rPr>
                    <w:t>）</w:t>
                  </w:r>
                </w:p>
                <w:p>
                  <w:pPr>
                    <w:jc w:val="both"/>
                  </w:pPr>
                  <w:r>
                    <w:rPr>
                      <w:b/>
                      <w:sz w:val="24"/>
                    </w:rPr>
                    <w:t>6.岗位人才需求及特征分析：</w:t>
                  </w:r>
                </w:p>
                <w:p>
                  <w:pPr>
                    <w:jc w:val="both"/>
                  </w:pPr>
                  <w:r>
                    <w:rPr>
                      <w:sz w:val="24"/>
                    </w:rPr>
                    <w:t>通过互联网大数据调研方式，应用大数据分析技术智能采集超过</w:t>
                  </w:r>
                  <w:r>
                    <w:rPr>
                      <w:sz w:val="24"/>
                    </w:rPr>
                    <w:t>1000万余家企业、上亿产业人才需求数据，并选取数据库中近1年的专业群关联岗位的产业人才需求数据（不少于1亿数据），面向人才需求数量、工作经验要求、学历要求、薪资水平等维度开展岗位人才需求及特征分析。</w:t>
                  </w:r>
                </w:p>
                <w:p>
                  <w:pPr>
                    <w:jc w:val="both"/>
                  </w:pPr>
                  <w:r>
                    <w:rPr>
                      <w:b/>
                      <w:sz w:val="24"/>
                    </w:rPr>
                    <w:t>7.厘清产业链与专业群的对接关系及路线（“产业链-技术链-人才链-专业群”）：</w:t>
                  </w:r>
                </w:p>
                <w:p>
                  <w:pPr>
                    <w:jc w:val="both"/>
                  </w:pPr>
                  <w:r>
                    <w:rPr>
                      <w:sz w:val="24"/>
                    </w:rPr>
                    <w:t>基于以上全面分析产业链，产业链对接技术链、技术链对接人才链、专业群对接岗位群与专业群内各专业的对接关系，综合分析组群契合度，形成科学合理的产业链与专业群组群方向。</w:t>
                  </w:r>
                </w:p>
              </w:tc>
            </w:tr>
            <w:tr>
              <w:tc>
                <w:tcPr>
                  <w:tcW w:type="dxa" w:w="801"/>
                  <w:vMerge/>
                  <w:tcBorders>
                    <w:top w:val="none" w:color="000000" w:sz="4"/>
                    <w:left w:val="single" w:color="000000" w:sz="4"/>
                    <w:bottom w:val="single" w:color="000000" w:sz="4"/>
                    <w:right w:val="single" w:color="000000" w:sz="4"/>
                  </w:tcBorders>
                </w:tcPr>
                <w:p/>
              </w:tc>
              <w:tc>
                <w:tcPr>
                  <w:tcW w:type="dxa" w:w="4796"/>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《专业群范畴内的产业链知识图谱》（产业人才大数据分析平台）</w:t>
                  </w:r>
                </w:p>
                <w:p>
                  <w:pPr>
                    <w:jc w:val="both"/>
                  </w:pPr>
                  <w:r>
                    <w:rPr>
                      <w:sz w:val="24"/>
                    </w:rPr>
                    <w:t>《相关行业全岗位人才需求分析可视化》（产业人才大数据分析平台）</w:t>
                  </w:r>
                </w:p>
                <w:p>
                  <w:pPr>
                    <w:jc w:val="both"/>
                  </w:pPr>
                  <w:r>
                    <w:rPr>
                      <w:sz w:val="24"/>
                    </w:rPr>
                    <w:t>《专业对接岗位分析可视化》（产业人才大数据分析平台）</w:t>
                  </w:r>
                </w:p>
                <w:p>
                  <w:pPr>
                    <w:jc w:val="both"/>
                  </w:pPr>
                  <w:r>
                    <w:rPr>
                      <w:sz w:val="24"/>
                    </w:rPr>
                    <w:t>《专业群关联岗位群一览表》</w:t>
                  </w:r>
                </w:p>
                <w:p>
                  <w:pPr>
                    <w:jc w:val="both"/>
                  </w:pPr>
                  <w:r>
                    <w:rPr>
                      <w:sz w:val="24"/>
                    </w:rPr>
                    <w:t>《产业链</w:t>
                  </w:r>
                  <w:r>
                    <w:rPr>
                      <w:sz w:val="24"/>
                    </w:rPr>
                    <w:t>-技术链-人才链-专业群全景关系图》</w:t>
                  </w:r>
                </w:p>
              </w:tc>
            </w:tr>
          </w:tbl>
          <w:p>
            <w:pPr>
              <w:jc w:val="left"/>
            </w:pPr>
            <w:r>
              <w:rPr>
                <w:sz w:val="24"/>
              </w:rPr>
              <w:t>（三）人才培养方案研制管理云平台应用</w:t>
            </w:r>
          </w:p>
          <w:tbl>
            <w:tblPr>
              <w:tblBorders>
                <w:top w:val="none" w:color="000000" w:sz="4"/>
                <w:left w:val="none" w:color="000000" w:sz="4"/>
                <w:bottom w:val="none" w:color="000000" w:sz="4"/>
                <w:right w:val="none" w:color="000000" w:sz="4"/>
                <w:insideH w:val="none"/>
                <w:insideV w:val="none"/>
              </w:tblBorders>
            </w:tblPr>
            <w:tblGrid>
              <w:gridCol w:w="637"/>
              <w:gridCol w:w="4960"/>
            </w:tblGrid>
            <w:tr>
              <w:tc>
                <w:tcPr>
                  <w:tcW w:type="dxa" w:w="637"/>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960"/>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637"/>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人才培养方案研制管理云平台应用</w:t>
                  </w:r>
                </w:p>
              </w:tc>
              <w:tc>
                <w:tcPr>
                  <w:tcW w:type="dxa" w:w="4960"/>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b/>
                      <w:sz w:val="24"/>
                    </w:rPr>
                    <w:t>1.首页：</w:t>
                  </w:r>
                </w:p>
                <w:p>
                  <w:pPr>
                    <w:jc w:val="both"/>
                  </w:pPr>
                  <w:r>
                    <w:rPr>
                      <w:sz w:val="24"/>
                    </w:rPr>
                    <w:t>平台首页主要用于呈现用户信息，包括个人账号基本信息、人才培养方案研制过程统计分析、红包发放账户明细等内容。也可查看进行中任务的完成进度和已提交文件的审批进度。</w:t>
                  </w:r>
                </w:p>
                <w:p>
                  <w:pPr>
                    <w:jc w:val="both"/>
                  </w:pPr>
                  <w:r>
                    <w:rPr>
                      <w:b/>
                      <w:sz w:val="24"/>
                    </w:rPr>
                    <w:t>2.专业群多维调研与分析系统：</w:t>
                  </w:r>
                </w:p>
                <w:p>
                  <w:pPr>
                    <w:jc w:val="both"/>
                  </w:pPr>
                  <w:r>
                    <w:rPr>
                      <w:sz w:val="24"/>
                    </w:rPr>
                    <w:t>供需调研是专业群据中心两大内容。它们之间的数据相辅相成，为调研分析与决策提供了大量数据作为参考依据，数据时效性强。</w:t>
                  </w:r>
                </w:p>
                <w:p>
                  <w:pPr>
                    <w:jc w:val="both"/>
                  </w:pPr>
                  <w:r>
                    <w:rPr>
                      <w:b/>
                      <w:sz w:val="24"/>
                    </w:rPr>
                    <w:t>（</w:t>
                  </w:r>
                  <w:r>
                    <w:rPr>
                      <w:b/>
                      <w:sz w:val="24"/>
                    </w:rPr>
                    <w:t>1）问卷调研中心</w:t>
                  </w:r>
                </w:p>
                <w:p>
                  <w:pPr>
                    <w:jc w:val="both"/>
                  </w:pPr>
                  <w:r>
                    <w:rPr>
                      <w:sz w:val="24"/>
                    </w:rPr>
                    <w:t>1) 智能调研模板推送：</w:t>
                  </w:r>
                </w:p>
                <w:p>
                  <w:pPr>
                    <w:jc w:val="both"/>
                  </w:pPr>
                  <w:r>
                    <w:rPr>
                      <w:sz w:val="24"/>
                    </w:rPr>
                    <w:t>平台可根据用户的专业名称和调研对象推送对应的调研问卷模板，用户可对问卷模板可进行预览、查询等操作，选择合适的调研模板进行引用，进入问卷编辑页面设计个性化问卷。</w:t>
                  </w:r>
                </w:p>
                <w:p>
                  <w:pPr>
                    <w:jc w:val="both"/>
                  </w:pPr>
                  <w:r>
                    <w:rPr>
                      <w:sz w:val="24"/>
                    </w:rPr>
                    <w:t>2) 调研问卷设计：</w:t>
                  </w:r>
                </w:p>
                <w:p>
                  <w:pPr>
                    <w:jc w:val="both"/>
                  </w:pPr>
                  <w:r>
                    <w:rPr>
                      <w:sz w:val="24"/>
                    </w:rPr>
                    <w:t>满足不同调研用户的需求，问卷设计页面提供单选题、多选题、填空题、问答题、单选表格题、多选表格题、下拉选择题、下拉联动题等多种题目类型可供选择，满足不同用户对设计问卷的要求。</w:t>
                  </w:r>
                </w:p>
                <w:p>
                  <w:pPr>
                    <w:jc w:val="both"/>
                  </w:pPr>
                  <w:r>
                    <w:rPr>
                      <w:sz w:val="24"/>
                    </w:rPr>
                    <w:t>3) 调研回收分析：</w:t>
                  </w:r>
                </w:p>
                <w:p>
                  <w:pPr>
                    <w:jc w:val="both"/>
                  </w:pPr>
                  <w:r>
                    <w:rPr>
                      <w:sz w:val="24"/>
                    </w:rPr>
                    <w:t>可实时查看调研回收时效，发现调研回收缓慢可随时扩充调研渠道，溯源查看回收的调研样本，并支持批量导出、打印。</w:t>
                  </w:r>
                </w:p>
                <w:p>
                  <w:pPr>
                    <w:jc w:val="both"/>
                  </w:pPr>
                  <w:r>
                    <w:rPr>
                      <w:sz w:val="24"/>
                    </w:rPr>
                    <w:t>4) 调研样本数据分析：</w:t>
                  </w:r>
                </w:p>
                <w:p>
                  <w:pPr>
                    <w:jc w:val="both"/>
                  </w:pPr>
                  <w:r>
                    <w:rPr>
                      <w:sz w:val="24"/>
                    </w:rPr>
                    <w:t>提供柱状图、条形图、饼图、表格等多种统计查看方式；可对问题选项进行多重过滤分析，方便快速定位查看某一细分人的答卷情况；可溯源查看样本统计的比例，关注某一人的答卷情况。</w:t>
                  </w:r>
                </w:p>
                <w:p>
                  <w:pPr>
                    <w:jc w:val="both"/>
                  </w:pPr>
                  <w:r>
                    <w:rPr>
                      <w:b/>
                      <w:sz w:val="24"/>
                    </w:rPr>
                    <w:t>3.岗位群职业能力分析系统</w:t>
                  </w:r>
                </w:p>
                <w:p>
                  <w:pPr>
                    <w:jc w:val="both"/>
                  </w:pPr>
                  <w:r>
                    <w:rPr>
                      <w:sz w:val="24"/>
                    </w:rPr>
                    <w:t>根据前期的专业多维调研与分析调研，确定了该专业的岗位，用户通过平台向企业实践专家推送岗位职业能力分析任务，企业实践专家在线上完成任务，形成对应岗位的职业能力分析表，在平台进行汇总操作后，线上线下邀请企业实践专家多次分析论证，形成专业、客观的岗位职业能力分析表。</w:t>
                  </w:r>
                </w:p>
                <w:p>
                  <w:pPr>
                    <w:jc w:val="both"/>
                  </w:pPr>
                  <w:r>
                    <w:rPr>
                      <w:sz w:val="24"/>
                    </w:rPr>
                    <w:t>1）▲</w:t>
                  </w:r>
                  <w:r>
                    <w:rPr>
                      <w:sz w:val="24"/>
                    </w:rPr>
                    <w:t>系统推荐：平台根据专业进行岗位数据分析，推荐相应岗位以及相关的职业能力分析。</w:t>
                  </w:r>
                  <w:r>
                    <w:rPr>
                      <w:sz w:val="24"/>
                    </w:rPr>
                    <w:t>（</w:t>
                  </w:r>
                  <w:r>
                    <w:rPr>
                      <w:b/>
                      <w:sz w:val="24"/>
                    </w:rPr>
                    <w:t>投标</w:t>
                  </w:r>
                  <w:r>
                    <w:rPr>
                      <w:b/>
                      <w:sz w:val="24"/>
                    </w:rPr>
                    <w:t>文件中提供相关截图证明，并加盖供应商公章，否则，按负偏离响应处理</w:t>
                  </w:r>
                  <w:r>
                    <w:rPr>
                      <w:sz w:val="24"/>
                    </w:rPr>
                    <w:t>）</w:t>
                  </w:r>
                </w:p>
                <w:p>
                  <w:pPr>
                    <w:jc w:val="both"/>
                  </w:pPr>
                  <w:r>
                    <w:rPr>
                      <w:sz w:val="24"/>
                    </w:rPr>
                    <w:t>2) 支持自定义岗位：可自定义岗位，并对应编辑典型工作任务、子任务、职业能力。并支持预览、打印、导入、导出功能。</w:t>
                  </w:r>
                </w:p>
                <w:p>
                  <w:pPr>
                    <w:jc w:val="both"/>
                  </w:pPr>
                  <w:r>
                    <w:rPr>
                      <w:sz w:val="24"/>
                    </w:rPr>
                    <w:t>3)</w:t>
                  </w:r>
                  <w:r>
                    <w:rPr>
                      <w:sz w:val="24"/>
                    </w:rPr>
                    <w:t>▲</w:t>
                  </w:r>
                  <w:r>
                    <w:rPr>
                      <w:sz w:val="24"/>
                    </w:rPr>
                    <w:t>岗位在线分析系统：可通过平台系统在线邀请企业实践专家协同进行分析，企业实践专家可通过邀请码进入分析界面，在职业能力分析引导下，完成提交后实时到达用户分析任务详情中。</w:t>
                  </w:r>
                  <w:r>
                    <w:rPr>
                      <w:sz w:val="24"/>
                    </w:rPr>
                    <w:t>（</w:t>
                  </w:r>
                  <w:r>
                    <w:rPr>
                      <w:b/>
                      <w:sz w:val="24"/>
                    </w:rPr>
                    <w:t>投标</w:t>
                  </w:r>
                  <w:r>
                    <w:rPr>
                      <w:b/>
                      <w:sz w:val="24"/>
                    </w:rPr>
                    <w:t>文件中提供相关截图证明，并加盖供应商公章，否则，按负偏离响应处理</w:t>
                  </w:r>
                  <w:r>
                    <w:rPr>
                      <w:sz w:val="24"/>
                    </w:rPr>
                    <w:t>）</w:t>
                  </w:r>
                </w:p>
                <w:p>
                  <w:pPr>
                    <w:jc w:val="both"/>
                  </w:pPr>
                  <w:r>
                    <w:rPr>
                      <w:sz w:val="24"/>
                    </w:rPr>
                    <w:t>4) 任务管理：查看多个岗位能力分析专家任务回收情况，并可一键引用岗位能力分析项，方便快捷管理职业能力分析任务。</w:t>
                  </w:r>
                </w:p>
                <w:p>
                  <w:pPr>
                    <w:jc w:val="both"/>
                  </w:pPr>
                  <w:r>
                    <w:rPr>
                      <w:b/>
                      <w:sz w:val="24"/>
                    </w:rPr>
                    <w:t>4.专业群课程体系构建系统</w:t>
                  </w:r>
                </w:p>
                <w:p>
                  <w:pPr>
                    <w:jc w:val="both"/>
                  </w:pPr>
                  <w:r>
                    <w:rPr>
                      <w:sz w:val="24"/>
                    </w:rPr>
                    <w:t>根据岗位职业能力分析映射出对应的课程内容、培养目的，通过平台在线邀请课程专家参与课程体系构建、课程与能力映射论证，同时将标杆院校相同专业的课程体系进行参照对比，使课程体系构建更科学、权威。</w:t>
                  </w:r>
                </w:p>
                <w:p>
                  <w:pPr>
                    <w:jc w:val="both"/>
                  </w:pPr>
                  <w:r>
                    <w:rPr>
                      <w:sz w:val="24"/>
                    </w:rPr>
                    <w:t>1) 系统推荐：平台根据标杆院校课程资源库、课程数据分析，为不同的专业推送课程结构。可一键引用到本专业课程体系结构中，支持自定义课程类别、课程名称、课程性质、主要教学内容及要求等。</w:t>
                  </w:r>
                </w:p>
                <w:p>
                  <w:pPr>
                    <w:jc w:val="both"/>
                  </w:pPr>
                  <w:r>
                    <w:rPr>
                      <w:sz w:val="24"/>
                    </w:rPr>
                    <w:t>2)</w:t>
                  </w:r>
                  <w:r>
                    <w:rPr>
                      <w:sz w:val="24"/>
                    </w:rPr>
                    <w:t>▲</w:t>
                  </w:r>
                  <w:r>
                    <w:rPr>
                      <w:sz w:val="24"/>
                    </w:rPr>
                    <w:t>课程体系在线构建系统：可通过平台在线邀请课程专家专家协同参与课程体系构建，课程专家可通过邀请码进入任务界面。根据职业能力分析表对该专业所要开设的课程进行分析，最后梳理得出课程结构表。</w:t>
                  </w:r>
                  <w:r>
                    <w:rPr>
                      <w:sz w:val="24"/>
                    </w:rPr>
                    <w:t>（</w:t>
                  </w:r>
                  <w:r>
                    <w:rPr>
                      <w:b/>
                      <w:sz w:val="24"/>
                    </w:rPr>
                    <w:t>投标</w:t>
                  </w:r>
                  <w:r>
                    <w:rPr>
                      <w:b/>
                      <w:sz w:val="24"/>
                    </w:rPr>
                    <w:t>文件中提供相关截图证明，并加盖供应商公章，否则，按负偏离响应处理</w:t>
                  </w:r>
                  <w:r>
                    <w:rPr>
                      <w:sz w:val="24"/>
                    </w:rPr>
                    <w:t>）</w:t>
                  </w:r>
                </w:p>
                <w:p>
                  <w:pPr>
                    <w:jc w:val="both"/>
                  </w:pPr>
                  <w:r>
                    <w:rPr>
                      <w:sz w:val="24"/>
                    </w:rPr>
                    <w:t>3) 课程体系任务管理：在线回收课程专家参与的课程构建任务，并对课程数据自动统计、汇总。可通过查看热度排名进行快速分析，一键引用课程到用户本专业课程体系构建中。</w:t>
                  </w:r>
                </w:p>
                <w:p>
                  <w:pPr>
                    <w:jc w:val="both"/>
                  </w:pPr>
                  <w:r>
                    <w:rPr>
                      <w:sz w:val="24"/>
                    </w:rPr>
                    <w:t>4)</w:t>
                  </w:r>
                  <w:r>
                    <w:rPr>
                      <w:b/>
                      <w:sz w:val="24"/>
                    </w:rPr>
                    <w:t>▲</w:t>
                  </w:r>
                  <w:r>
                    <w:rPr>
                      <w:sz w:val="24"/>
                    </w:rPr>
                    <w:t>课程映射能力在线回收系统：可通过平台开启课程能力映射头脑风暴模式，所有参加头脑风暴会议的课程专家通过在线对每门课程与职业能力进行关联映射。系统自动回收所有课程专家的映射结果，可实时查看头脑风暴进度和收回清单，汇总所有数据统计，并可单独对课程或整体设置过滤条件，实时查看过滤项目，最终形成的头脑风暴会议数据可与自建课程与能力映射数据进行交叉对比。</w:t>
                  </w:r>
                  <w:r>
                    <w:rPr>
                      <w:sz w:val="24"/>
                    </w:rPr>
                    <w:t>（</w:t>
                  </w:r>
                  <w:r>
                    <w:rPr>
                      <w:b/>
                      <w:sz w:val="24"/>
                    </w:rPr>
                    <w:t>投标</w:t>
                  </w:r>
                  <w:r>
                    <w:rPr>
                      <w:b/>
                      <w:sz w:val="24"/>
                    </w:rPr>
                    <w:t>文件中提供相关截图证明，并加盖供应商公章，否则，按负偏离响应处理</w:t>
                  </w:r>
                  <w:r>
                    <w:rPr>
                      <w:sz w:val="24"/>
                    </w:rPr>
                    <w:t>）</w:t>
                  </w:r>
                </w:p>
                <w:p>
                  <w:pPr>
                    <w:jc w:val="both"/>
                  </w:pPr>
                  <w:r>
                    <w:rPr>
                      <w:b/>
                      <w:sz w:val="24"/>
                    </w:rPr>
                    <w:t>5.专业群标准编制</w:t>
                  </w:r>
                </w:p>
                <w:p>
                  <w:pPr>
                    <w:jc w:val="both"/>
                  </w:pPr>
                  <w:r>
                    <w:rPr>
                      <w:sz w:val="24"/>
                    </w:rPr>
                    <w:t>引用前期的文件数据，一键自动生成专业多维调研与分析报告、职业晋升路径表、岗位职业能力分析表、专业课程结构表、课程与能力对接表、课程安排表、课程设置及要求表七大类型目标文件，再一键汇总生成专业人才培养方案。</w:t>
                  </w:r>
                </w:p>
                <w:p>
                  <w:pPr>
                    <w:jc w:val="both"/>
                  </w:pPr>
                  <w:r>
                    <w:rPr>
                      <w:sz w:val="24"/>
                    </w:rPr>
                    <w:t>1）全面的报告输出文件系统：提供专业多维调研与分析报告、职业晋升路径表、岗位职业能力分析表、专业课程结构表、课程与能力对接表、课程安排表、课程设置及要求表、专业人才培养方案的输出，并可以在线编辑、提交至上级领导审批。</w:t>
                  </w:r>
                </w:p>
                <w:p>
                  <w:pPr>
                    <w:jc w:val="both"/>
                  </w:pPr>
                  <w:r>
                    <w:rPr>
                      <w:sz w:val="24"/>
                    </w:rPr>
                    <w:t>2) 丰富的模板：每一种输出文件都提供丰富的模板，满足国标、省标甚至用户自定义标准的输出。</w:t>
                  </w:r>
                </w:p>
                <w:p>
                  <w:pPr>
                    <w:jc w:val="both"/>
                  </w:pPr>
                  <w:r>
                    <w:rPr>
                      <w:sz w:val="24"/>
                    </w:rPr>
                    <w:t>3) 自动生成报告：选择输出模板→选择数据源→生成报告、图表。大大减少了用户编写报告、编制图表的工作量。</w:t>
                  </w:r>
                </w:p>
                <w:p>
                  <w:pPr>
                    <w:jc w:val="both"/>
                  </w:pPr>
                  <w:r>
                    <w:rPr>
                      <w:b/>
                      <w:sz w:val="24"/>
                    </w:rPr>
                    <w:t>6.监控管理系统</w:t>
                  </w:r>
                </w:p>
                <w:p>
                  <w:pPr>
                    <w:jc w:val="both"/>
                  </w:pPr>
                  <w:r>
                    <w:rPr>
                      <w:sz w:val="24"/>
                    </w:rPr>
                    <w:t>1) 二级系部端：可通过二级系部的角色登录系统，可查看专业人才培养方案研制情况，以及每个阶段具体工作的明细和审批提交上来的报告。</w:t>
                  </w:r>
                </w:p>
                <w:p>
                  <w:pPr>
                    <w:jc w:val="both"/>
                  </w:pPr>
                  <w:r>
                    <w:rPr>
                      <w:sz w:val="24"/>
                    </w:rPr>
                    <w:t>2)</w:t>
                  </w:r>
                  <w:r>
                    <w:rPr>
                      <w:b/>
                      <w:sz w:val="24"/>
                    </w:rPr>
                    <w:t>▲</w:t>
                  </w:r>
                  <w:r>
                    <w:rPr>
                      <w:sz w:val="24"/>
                    </w:rPr>
                    <w:t>教务端：可通过教务处的角色登录系统，可查看专业人才培养方案研制情况，以及每个阶段具体工作的明细和审批提交上来的报告。</w:t>
                  </w:r>
                  <w:r>
                    <w:rPr>
                      <w:sz w:val="24"/>
                    </w:rPr>
                    <w:t>（</w:t>
                  </w:r>
                  <w:r>
                    <w:rPr>
                      <w:b/>
                      <w:sz w:val="24"/>
                    </w:rPr>
                    <w:t>投标</w:t>
                  </w:r>
                  <w:r>
                    <w:rPr>
                      <w:b/>
                      <w:sz w:val="24"/>
                    </w:rPr>
                    <w:t>文件中提供相关截图证明，并加盖供应商公章，否则，按负偏离响应处理</w:t>
                  </w:r>
                  <w:r>
                    <w:rPr>
                      <w:sz w:val="24"/>
                    </w:rPr>
                    <w:t>）</w:t>
                  </w:r>
                </w:p>
              </w:tc>
            </w:tr>
            <w:tr>
              <w:tc>
                <w:tcPr>
                  <w:tcW w:type="dxa" w:w="637"/>
                  <w:vMerge/>
                  <w:tcBorders>
                    <w:top w:val="none" w:color="000000" w:sz="4"/>
                    <w:left w:val="single" w:color="000000" w:sz="4"/>
                    <w:bottom w:val="single" w:color="000000" w:sz="4"/>
                    <w:right w:val="single" w:color="000000" w:sz="4"/>
                  </w:tcBorders>
                </w:tcPr>
                <w:p/>
              </w:tc>
              <w:tc>
                <w:tcPr>
                  <w:tcW w:type="dxa" w:w="4960"/>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专业群人才培养方案研制管理云平台应用</w:t>
                  </w:r>
                </w:p>
                <w:p>
                  <w:pPr>
                    <w:jc w:val="both"/>
                  </w:pPr>
                  <w:r>
                    <w:rPr>
                      <w:sz w:val="24"/>
                    </w:rPr>
                    <w:t>人才培养方案研制管理云平台使用说明</w:t>
                  </w:r>
                </w:p>
              </w:tc>
            </w:tr>
          </w:tbl>
          <w:p>
            <w:pPr>
              <w:jc w:val="left"/>
            </w:pPr>
            <w:r>
              <w:rPr>
                <w:sz w:val="24"/>
              </w:rPr>
              <w:t>（四）专业群多维调研与分析</w:t>
            </w:r>
          </w:p>
          <w:tbl>
            <w:tblPr>
              <w:tblBorders>
                <w:top w:val="none" w:color="000000" w:sz="4"/>
                <w:left w:val="none" w:color="000000" w:sz="4"/>
                <w:bottom w:val="none" w:color="000000" w:sz="4"/>
                <w:right w:val="none" w:color="000000" w:sz="4"/>
                <w:insideH w:val="none"/>
                <w:insideV w:val="none"/>
              </w:tblBorders>
            </w:tblPr>
            <w:tblGrid>
              <w:gridCol w:w="674"/>
              <w:gridCol w:w="4923"/>
            </w:tblGrid>
            <w:tr>
              <w:tc>
                <w:tcPr>
                  <w:tcW w:type="dxa" w:w="674"/>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923"/>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674"/>
                  <w:vMerge w:val="restart"/>
                  <w:tcBorders>
                    <w:top w:val="none" w:color="000000" w:sz="4"/>
                    <w:left w:val="single" w:color="000000" w:sz="4"/>
                    <w:bottom w:val="single" w:color="000000" w:sz="4"/>
                    <w:right w:val="single" w:color="000000" w:sz="4"/>
                  </w:tcBorders>
                  <w:shd w:fill="FFFFFF"/>
                  <w:vAlign w:val="top"/>
                </w:tcPr>
                <w:p>
                  <w:pPr>
                    <w:jc w:val="center"/>
                  </w:pPr>
                  <w:r>
                    <w:rPr>
                      <w:b/>
                      <w:sz w:val="24"/>
                    </w:rPr>
                    <w:t>岗位群人才需求与特征大数据分析</w:t>
                  </w: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通过互联网大数据调研方式，应用大数据分析技术智能采集专业群相关产业、企业人才需求数据，并选取数据库中近</w:t>
                  </w:r>
                  <w:r>
                    <w:rPr>
                      <w:sz w:val="24"/>
                    </w:rPr>
                    <w:t>1年的专业关联岗位的产业人才需求数据进行分析。</w:t>
                  </w:r>
                </w:p>
                <w:p>
                  <w:pPr>
                    <w:jc w:val="both"/>
                  </w:pPr>
                  <w:r>
                    <w:rPr>
                      <w:sz w:val="24"/>
                    </w:rPr>
                    <w:t>主要分析维度有：</w:t>
                  </w:r>
                </w:p>
                <w:p>
                  <w:pPr>
                    <w:jc w:val="both"/>
                  </w:pPr>
                  <w:r>
                    <w:rPr>
                      <w:b/>
                      <w:sz w:val="24"/>
                    </w:rPr>
                    <w:t>人才需求数量维度：</w:t>
                  </w:r>
                  <w:r>
                    <w:rPr>
                      <w:sz w:val="24"/>
                    </w:rPr>
                    <w:t>主要包括各地区（全国、省份、经济区、城市）的岗位人才需求量、各学历的岗位人才需求量等，为学校把握各地人才需求以及结合当地人才需求变化趋势进行专业定位提供数据支撑。</w:t>
                  </w:r>
                </w:p>
                <w:p>
                  <w:pPr>
                    <w:jc w:val="both"/>
                  </w:pPr>
                  <w:r>
                    <w:rPr>
                      <w:b/>
                      <w:sz w:val="24"/>
                    </w:rPr>
                    <w:t>人才经验要求维度：</w:t>
                  </w:r>
                  <w:r>
                    <w:rPr>
                      <w:sz w:val="24"/>
                    </w:rPr>
                    <w:t>工作经验维度，主要包括岗位人才工作经验要求分布、不同经验人才的需求量、不同经验人才的薪资分布等，为学校厘清学生的职业生涯发展路径提供数据支撑。</w:t>
                  </w:r>
                </w:p>
                <w:p>
                  <w:pPr>
                    <w:jc w:val="both"/>
                  </w:pPr>
                  <w:r>
                    <w:rPr>
                      <w:b/>
                      <w:sz w:val="24"/>
                    </w:rPr>
                    <w:t>人才薪资水平维度：</w:t>
                  </w:r>
                  <w:r>
                    <w:rPr>
                      <w:sz w:val="24"/>
                    </w:rPr>
                    <w:t>薪资维度，主要包括各岗位薪资差异对比、城市薪资分布等，为学校把握专业人才薪资水平和发展前景提供数据支撑。</w:t>
                  </w:r>
                </w:p>
                <w:p>
                  <w:pPr>
                    <w:jc w:val="both"/>
                  </w:pPr>
                  <w:r>
                    <w:rPr>
                      <w:b/>
                      <w:sz w:val="24"/>
                    </w:rPr>
                    <w:t>人才学历要求维度：</w:t>
                  </w:r>
                  <w:r>
                    <w:rPr>
                      <w:sz w:val="24"/>
                    </w:rPr>
                    <w:t>学历维度，主要包括岗位人才学历要求分布、各学历人才的岗位需求量、不同学历人才的薪资对比等，为学校结合本学历层次开展针对性人才培养提供数据支撑。</w:t>
                  </w:r>
                </w:p>
                <w:p>
                  <w:pPr>
                    <w:jc w:val="both"/>
                  </w:pPr>
                  <w:r>
                    <w:rPr>
                      <w:b/>
                      <w:sz w:val="24"/>
                    </w:rPr>
                    <w:t>岗位关联企业：</w:t>
                  </w:r>
                  <w:r>
                    <w:rPr>
                      <w:sz w:val="24"/>
                    </w:rPr>
                    <w:t>提供规模较大且有相关岗位人才招聘需求的公司列表，供学校进行产教融合交流，每个岗位提供应用算法打分排序后前</w:t>
                  </w:r>
                  <w:r>
                    <w:rPr>
                      <w:sz w:val="24"/>
                    </w:rPr>
                    <w:t>20名企业。</w:t>
                  </w:r>
                </w:p>
                <w:p>
                  <w:pPr>
                    <w:jc w:val="both"/>
                  </w:pPr>
                  <w:r>
                    <w:rPr>
                      <w:b/>
                      <w:sz w:val="24"/>
                    </w:rPr>
                    <w:t>（以上各维度数据分析统计使用产业人才大数据分析平台可按照自身需求任意关联组合分析，获得更多不同维度调研分析结果）</w:t>
                  </w:r>
                </w:p>
                <w:p>
                  <w:pPr>
                    <w:jc w:val="both"/>
                  </w:pPr>
                </w:p>
              </w:tc>
            </w:tr>
            <w:tr>
              <w:tc>
                <w:tcPr>
                  <w:tcW w:type="dxa" w:w="674"/>
                  <w:vMerge/>
                  <w:tcBorders>
                    <w:top w:val="none" w:color="000000" w:sz="4"/>
                    <w:left w:val="single" w:color="000000" w:sz="4"/>
                    <w:bottom w:val="single" w:color="000000" w:sz="4"/>
                    <w:right w:val="single" w:color="000000" w:sz="4"/>
                  </w:tcBorders>
                </w:tcP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《岗位群人才需求分布表》</w:t>
                  </w:r>
                </w:p>
                <w:p>
                  <w:pPr>
                    <w:jc w:val="both"/>
                  </w:pPr>
                  <w:r>
                    <w:rPr>
                      <w:sz w:val="24"/>
                    </w:rPr>
                    <w:t>《岗位群人才经验要求分布表》</w:t>
                  </w:r>
                </w:p>
                <w:p>
                  <w:pPr>
                    <w:jc w:val="both"/>
                  </w:pPr>
                  <w:r>
                    <w:rPr>
                      <w:sz w:val="24"/>
                    </w:rPr>
                    <w:t>《岗位群人才薪资水平分布表》</w:t>
                  </w:r>
                </w:p>
                <w:p>
                  <w:pPr>
                    <w:jc w:val="both"/>
                  </w:pPr>
                  <w:r>
                    <w:rPr>
                      <w:sz w:val="24"/>
                    </w:rPr>
                    <w:t>《岗位群人才学历要求分布表》</w:t>
                  </w:r>
                </w:p>
                <w:p>
                  <w:pPr>
                    <w:jc w:val="both"/>
                  </w:pPr>
                  <w:r>
                    <w:rPr>
                      <w:sz w:val="24"/>
                    </w:rPr>
                    <w:t>《岗位群人才行业类型分布表》</w:t>
                  </w:r>
                </w:p>
                <w:p>
                  <w:pPr>
                    <w:jc w:val="both"/>
                  </w:pPr>
                  <w:r>
                    <w:rPr>
                      <w:sz w:val="24"/>
                    </w:rPr>
                    <w:t>《岗位群人才企业性质分布表》</w:t>
                  </w:r>
                </w:p>
                <w:p>
                  <w:pPr>
                    <w:jc w:val="both"/>
                  </w:pPr>
                  <w:r>
                    <w:rPr>
                      <w:sz w:val="24"/>
                    </w:rPr>
                    <w:t>《岗位群人才企业规模分布表》</w:t>
                  </w:r>
                </w:p>
                <w:p>
                  <w:pPr>
                    <w:jc w:val="both"/>
                  </w:pPr>
                  <w:r>
                    <w:rPr>
                      <w:sz w:val="24"/>
                    </w:rPr>
                    <w:t>《岗位群工作经验要求与人才需求对比分析表》</w:t>
                  </w:r>
                </w:p>
                <w:p>
                  <w:pPr>
                    <w:jc w:val="both"/>
                  </w:pPr>
                  <w:r>
                    <w:rPr>
                      <w:sz w:val="24"/>
                    </w:rPr>
                    <w:t>《岗位群薪资水平分布与人才需求对比分析表》</w:t>
                  </w:r>
                </w:p>
                <w:p>
                  <w:pPr>
                    <w:jc w:val="both"/>
                  </w:pPr>
                  <w:r>
                    <w:rPr>
                      <w:sz w:val="24"/>
                    </w:rPr>
                    <w:t>《岗位群人才需求</w:t>
                  </w:r>
                  <w:r>
                    <w:rPr>
                      <w:sz w:val="24"/>
                    </w:rPr>
                    <w:t>TOP50企业列表》</w:t>
                  </w:r>
                </w:p>
              </w:tc>
            </w:tr>
            <w:tr>
              <w:tc>
                <w:tcPr>
                  <w:tcW w:type="dxa" w:w="674"/>
                  <w:vMerge w:val="restart"/>
                  <w:tcBorders>
                    <w:top w:val="none" w:color="000000" w:sz="4"/>
                    <w:left w:val="single" w:color="000000" w:sz="4"/>
                    <w:bottom w:val="single" w:color="000000" w:sz="4"/>
                    <w:right w:val="single" w:color="000000" w:sz="4"/>
                  </w:tcBorders>
                  <w:shd w:fill="FFFFFF"/>
                  <w:vAlign w:val="top"/>
                </w:tcPr>
                <w:p>
                  <w:pPr>
                    <w:jc w:val="center"/>
                  </w:pPr>
                  <w:r>
                    <w:rPr>
                      <w:b/>
                      <w:sz w:val="24"/>
                    </w:rPr>
                    <w:t>行业企业调查</w:t>
                  </w: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通过问卷调查回收问卷、深度访谈（实地走访）企业等方式，面向专业群相关领域的行业协会、行业企业等开展定向调研。</w:t>
                  </w:r>
                </w:p>
                <w:p>
                  <w:pPr>
                    <w:jc w:val="both"/>
                  </w:pPr>
                  <w:r>
                    <w:rPr>
                      <w:b/>
                      <w:sz w:val="24"/>
                    </w:rPr>
                    <w:t>1.调研对象：</w:t>
                  </w:r>
                </w:p>
                <w:p>
                  <w:pPr>
                    <w:jc w:val="both"/>
                  </w:pPr>
                  <w:r>
                    <w:rPr>
                      <w:sz w:val="24"/>
                    </w:rPr>
                    <w:t>在行业协会、行业企业内，一/线岗位工作经验丰富、见识广、具有人才培训经验的主管及以上职务管理人员，以及岗位一/线员工。</w:t>
                  </w:r>
                </w:p>
                <w:p>
                  <w:pPr>
                    <w:jc w:val="both"/>
                  </w:pPr>
                  <w:r>
                    <w:rPr>
                      <w:b/>
                      <w:sz w:val="24"/>
                    </w:rPr>
                    <w:t>2.调研内容：</w:t>
                  </w:r>
                </w:p>
                <w:p>
                  <w:pPr>
                    <w:jc w:val="both"/>
                  </w:pPr>
                  <w:r>
                    <w:rPr>
                      <w:sz w:val="24"/>
                    </w:rPr>
                    <w:t>（1）各类型企业现在及未来</w:t>
                  </w:r>
                  <w:r>
                    <w:rPr>
                      <w:sz w:val="24"/>
                    </w:rPr>
                    <w:t>3-5年的技术与服务领域分析；</w:t>
                  </w:r>
                </w:p>
                <w:p>
                  <w:pPr>
                    <w:jc w:val="both"/>
                  </w:pPr>
                  <w:r>
                    <w:rPr>
                      <w:sz w:val="24"/>
                    </w:rPr>
                    <w:t>（2）</w:t>
                  </w:r>
                  <w:r>
                    <w:rPr>
                      <w:sz w:val="24"/>
                    </w:rPr>
                    <w:t>各类型企业的岗位设置、人才层次要求、岗位专业要求、岗位薪资水平、岗位工作经验要求等；</w:t>
                  </w:r>
                </w:p>
                <w:p>
                  <w:pPr>
                    <w:jc w:val="both"/>
                  </w:pPr>
                  <w:r>
                    <w:rPr>
                      <w:sz w:val="24"/>
                    </w:rPr>
                    <w:t>（3）</w:t>
                  </w:r>
                  <w:r>
                    <w:rPr>
                      <w:sz w:val="24"/>
                    </w:rPr>
                    <w:t>各类型企业的采用国际通行或行业普遍认可的相关标准（产品质量标准、生产流程标准等）情况；</w:t>
                  </w:r>
                </w:p>
                <w:p>
                  <w:pPr>
                    <w:jc w:val="both"/>
                  </w:pPr>
                  <w:r>
                    <w:rPr>
                      <w:sz w:val="24"/>
                    </w:rPr>
                    <w:t>（4）</w:t>
                  </w:r>
                  <w:r>
                    <w:rPr>
                      <w:sz w:val="24"/>
                    </w:rPr>
                    <w:t>岗位的人才需求现状规模及未来</w:t>
                  </w:r>
                  <w:r>
                    <w:rPr>
                      <w:sz w:val="24"/>
                    </w:rPr>
                    <w:t>3-5年的需求趋势；</w:t>
                  </w:r>
                </w:p>
                <w:p>
                  <w:pPr>
                    <w:jc w:val="both"/>
                  </w:pPr>
                  <w:r>
                    <w:rPr>
                      <w:sz w:val="24"/>
                    </w:rPr>
                    <w:t>（5）</w:t>
                  </w:r>
                  <w:r>
                    <w:rPr>
                      <w:sz w:val="24"/>
                    </w:rPr>
                    <w:t>岗位的典型工作任务要求；</w:t>
                  </w:r>
                </w:p>
                <w:p>
                  <w:pPr>
                    <w:jc w:val="both"/>
                  </w:pPr>
                  <w:r>
                    <w:rPr>
                      <w:sz w:val="24"/>
                    </w:rPr>
                    <w:t>（6）</w:t>
                  </w:r>
                  <w:r>
                    <w:rPr>
                      <w:sz w:val="24"/>
                    </w:rPr>
                    <w:t>岗位的人才规格（知识、技能、素质）要求及变化情况；</w:t>
                  </w:r>
                </w:p>
                <w:p>
                  <w:pPr>
                    <w:jc w:val="both"/>
                  </w:pPr>
                  <w:r>
                    <w:rPr>
                      <w:sz w:val="24"/>
                    </w:rPr>
                    <w:t>（7）</w:t>
                  </w:r>
                  <w:r>
                    <w:rPr>
                      <w:sz w:val="24"/>
                    </w:rPr>
                    <w:t>技术型岗位对应的技术条件变化情况（工艺、设备、材料等）及劳动组织变化情况；</w:t>
                  </w:r>
                </w:p>
                <w:p>
                  <w:pPr>
                    <w:jc w:val="both"/>
                  </w:pPr>
                  <w:r>
                    <w:rPr>
                      <w:sz w:val="24"/>
                    </w:rPr>
                    <w:t>（8）</w:t>
                  </w:r>
                  <w:r>
                    <w:rPr>
                      <w:sz w:val="24"/>
                    </w:rPr>
                    <w:t>服务型岗位对应的工作方式变化情况（商业业态、服务内容、服务方式等）；</w:t>
                  </w:r>
                </w:p>
                <w:p>
                  <w:pPr>
                    <w:jc w:val="both"/>
                  </w:pPr>
                  <w:r>
                    <w:rPr>
                      <w:sz w:val="24"/>
                    </w:rPr>
                    <w:t>（9）</w:t>
                  </w:r>
                  <w:r>
                    <w:rPr>
                      <w:sz w:val="24"/>
                    </w:rPr>
                    <w:t>管理型岗位对应的管理方式变化情况（管理对象、管理内容、管理流程等）；</w:t>
                  </w:r>
                </w:p>
                <w:p>
                  <w:pPr>
                    <w:jc w:val="both"/>
                  </w:pPr>
                  <w:r>
                    <w:rPr>
                      <w:sz w:val="24"/>
                    </w:rPr>
                    <w:t>（10）</w:t>
                  </w:r>
                  <w:r>
                    <w:rPr>
                      <w:sz w:val="24"/>
                    </w:rPr>
                    <w:t>各类型企业对高职毕业生的人才规格（知识、技能、素质）具备情况的评价，对技术技能人才培养的意见和建议；</w:t>
                  </w:r>
                </w:p>
                <w:p>
                  <w:pPr>
                    <w:jc w:val="both"/>
                  </w:pPr>
                  <w:r>
                    <w:rPr>
                      <w:sz w:val="24"/>
                    </w:rPr>
                    <w:t>（11）</w:t>
                  </w:r>
                  <w:r>
                    <w:rPr>
                      <w:sz w:val="24"/>
                    </w:rPr>
                    <w:t>各类型企业目前应用的新技术、新工艺、新规范等产业先进元素；</w:t>
                  </w:r>
                </w:p>
                <w:p>
                  <w:pPr>
                    <w:jc w:val="both"/>
                  </w:pPr>
                  <w:r>
                    <w:rPr>
                      <w:sz w:val="24"/>
                    </w:rPr>
                    <w:t>（12）</w:t>
                  </w:r>
                  <w:r>
                    <w:rPr>
                      <w:sz w:val="24"/>
                    </w:rPr>
                    <w:t>对学校课程设置、职业技能训练、教学过程与效果的意见和建议。</w:t>
                  </w:r>
                </w:p>
                <w:p>
                  <w:pPr>
                    <w:jc w:val="both"/>
                  </w:pPr>
                </w:p>
              </w:tc>
            </w:tr>
            <w:tr>
              <w:tc>
                <w:tcPr>
                  <w:tcW w:type="dxa" w:w="674"/>
                  <w:vMerge/>
                  <w:tcBorders>
                    <w:top w:val="none" w:color="000000" w:sz="4"/>
                    <w:left w:val="single" w:color="000000" w:sz="4"/>
                    <w:bottom w:val="single" w:color="000000" w:sz="4"/>
                    <w:right w:val="single" w:color="000000" w:sz="4"/>
                  </w:tcBorders>
                </w:tcP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《面向行业企业管理层的调查问卷》</w:t>
                  </w:r>
                </w:p>
                <w:p>
                  <w:pPr>
                    <w:jc w:val="both"/>
                  </w:pPr>
                  <w:r>
                    <w:rPr>
                      <w:sz w:val="24"/>
                    </w:rPr>
                    <w:t>《面向行业企业一/线员工的调查问卷》</w:t>
                  </w:r>
                </w:p>
                <w:p>
                  <w:pPr>
                    <w:jc w:val="both"/>
                  </w:pPr>
                  <w:r>
                    <w:rPr>
                      <w:sz w:val="24"/>
                    </w:rPr>
                    <w:t>《面向行业企业管理层的调查问卷样本》</w:t>
                  </w:r>
                </w:p>
                <w:p>
                  <w:pPr>
                    <w:jc w:val="both"/>
                  </w:pPr>
                  <w:r>
                    <w:rPr>
                      <w:sz w:val="24"/>
                    </w:rPr>
                    <w:t>《面向行业企业一/线员工的调研问卷样本》</w:t>
                  </w:r>
                </w:p>
                <w:p>
                  <w:pPr>
                    <w:jc w:val="both"/>
                  </w:pPr>
                  <w:r>
                    <w:rPr>
                      <w:sz w:val="24"/>
                    </w:rPr>
                    <w:t>《面向行业协会或企业的访谈提纲》</w:t>
                  </w:r>
                </w:p>
                <w:p>
                  <w:pPr>
                    <w:jc w:val="both"/>
                  </w:pPr>
                  <w:r>
                    <w:rPr>
                      <w:sz w:val="24"/>
                    </w:rPr>
                    <w:t>《面向行业协会或企业的访谈记录》</w:t>
                  </w:r>
                </w:p>
                <w:p>
                  <w:pPr>
                    <w:jc w:val="both"/>
                  </w:pPr>
                  <w:r>
                    <w:rPr>
                      <w:sz w:val="24"/>
                    </w:rPr>
                    <w:t>其他：访谈会议照片、录音等过程性材料</w:t>
                  </w:r>
                </w:p>
              </w:tc>
            </w:tr>
            <w:tr>
              <w:tc>
                <w:tcPr>
                  <w:tcW w:type="dxa" w:w="674"/>
                  <w:vMerge w:val="restart"/>
                  <w:tcBorders>
                    <w:top w:val="none" w:color="000000" w:sz="4"/>
                    <w:left w:val="single" w:color="000000" w:sz="4"/>
                    <w:bottom w:val="single" w:color="000000" w:sz="4"/>
                    <w:right w:val="single" w:color="000000" w:sz="4"/>
                  </w:tcBorders>
                  <w:shd w:fill="FFFFFF"/>
                  <w:vAlign w:val="top"/>
                </w:tcPr>
                <w:p>
                  <w:pPr>
                    <w:jc w:val="center"/>
                  </w:pPr>
                  <w:r>
                    <w:rPr>
                      <w:b/>
                      <w:sz w:val="24"/>
                    </w:rPr>
                    <w:t>同类院校调查</w:t>
                  </w: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通过问卷调查回收问卷、深度访谈（实地走访）学校等方式，面向开设同类专业（群）的职业院校等开展定向调研。</w:t>
                  </w:r>
                </w:p>
                <w:p>
                  <w:pPr>
                    <w:jc w:val="both"/>
                  </w:pPr>
                  <w:r>
                    <w:rPr>
                      <w:b/>
                      <w:sz w:val="24"/>
                    </w:rPr>
                    <w:t>1.调研对象：</w:t>
                  </w:r>
                </w:p>
                <w:p>
                  <w:pPr>
                    <w:jc w:val="both"/>
                  </w:pPr>
                  <w:r>
                    <w:rPr>
                      <w:sz w:val="24"/>
                    </w:rPr>
                    <w:t>熟悉专业建设情况，包括组逻辑、课程开发思路、课程体系构建等内容的专业负责人、专业负责人、专业带头人、专业骨干教师等。</w:t>
                  </w:r>
                </w:p>
                <w:p>
                  <w:pPr>
                    <w:jc w:val="both"/>
                  </w:pPr>
                  <w:r>
                    <w:rPr>
                      <w:b/>
                      <w:sz w:val="24"/>
                    </w:rPr>
                    <w:t>2.调研内容：</w:t>
                  </w:r>
                </w:p>
                <w:p>
                  <w:pPr>
                    <w:jc w:val="both"/>
                  </w:pPr>
                  <w:r>
                    <w:rPr>
                      <w:sz w:val="24"/>
                    </w:rPr>
                    <w:t>（1）</w:t>
                  </w:r>
                  <w:r>
                    <w:rPr>
                      <w:sz w:val="24"/>
                    </w:rPr>
                    <w:t>同类专业建设情况、组逻辑、组经验；</w:t>
                  </w:r>
                </w:p>
                <w:p>
                  <w:pPr>
                    <w:jc w:val="both"/>
                  </w:pPr>
                  <w:r>
                    <w:rPr>
                      <w:sz w:val="24"/>
                    </w:rPr>
                    <w:t>（2）</w:t>
                  </w:r>
                  <w:r>
                    <w:rPr>
                      <w:sz w:val="24"/>
                    </w:rPr>
                    <w:t>同类专业、内各专业的人才培养目标、职业技能训练；</w:t>
                  </w:r>
                </w:p>
                <w:p>
                  <w:pPr>
                    <w:jc w:val="both"/>
                  </w:pPr>
                  <w:r>
                    <w:rPr>
                      <w:sz w:val="24"/>
                    </w:rPr>
                    <w:t>（3）</w:t>
                  </w:r>
                  <w:r>
                    <w:rPr>
                      <w:sz w:val="24"/>
                    </w:rPr>
                    <w:t>同类专业、内各专业面向的产业及结构、行业企业类型；</w:t>
                  </w:r>
                </w:p>
                <w:p>
                  <w:pPr>
                    <w:jc w:val="both"/>
                  </w:pPr>
                  <w:r>
                    <w:rPr>
                      <w:sz w:val="24"/>
                    </w:rPr>
                    <w:t>（4）</w:t>
                  </w:r>
                  <w:r>
                    <w:rPr>
                      <w:sz w:val="24"/>
                    </w:rPr>
                    <w:t>同类专业覆盖的岗位及相关关键技术技能要求；</w:t>
                  </w:r>
                </w:p>
                <w:p>
                  <w:pPr>
                    <w:jc w:val="both"/>
                  </w:pPr>
                  <w:r>
                    <w:rPr>
                      <w:sz w:val="24"/>
                    </w:rPr>
                    <w:t>（5）</w:t>
                  </w:r>
                  <w:r>
                    <w:rPr>
                      <w:sz w:val="24"/>
                    </w:rPr>
                    <w:t>同类专业课程体系的课程结构、构建逻辑、构建方法、经验总结；</w:t>
                  </w:r>
                </w:p>
                <w:p>
                  <w:pPr>
                    <w:jc w:val="both"/>
                  </w:pPr>
                  <w:r>
                    <w:rPr>
                      <w:sz w:val="24"/>
                    </w:rPr>
                    <w:t>（6）</w:t>
                  </w:r>
                  <w:r>
                    <w:rPr>
                      <w:sz w:val="24"/>
                    </w:rPr>
                    <w:t>同类专业课程体系与岗位工作任务</w:t>
                  </w:r>
                  <w:r>
                    <w:rPr>
                      <w:sz w:val="24"/>
                    </w:rPr>
                    <w:t>/技术的对接度；</w:t>
                  </w:r>
                </w:p>
                <w:p>
                  <w:pPr>
                    <w:jc w:val="both"/>
                  </w:pPr>
                  <w:r>
                    <w:rPr>
                      <w:sz w:val="24"/>
                    </w:rPr>
                    <w:t>（7）</w:t>
                  </w:r>
                  <w:r>
                    <w:rPr>
                      <w:sz w:val="24"/>
                    </w:rPr>
                    <w:t>同类专业在师资、实训等教学资源共享上的经验；</w:t>
                  </w:r>
                </w:p>
                <w:p>
                  <w:pPr>
                    <w:jc w:val="both"/>
                  </w:pPr>
                  <w:r>
                    <w:rPr>
                      <w:sz w:val="24"/>
                    </w:rPr>
                    <w:t>（8）</w:t>
                  </w:r>
                  <w:r>
                    <w:rPr>
                      <w:sz w:val="24"/>
                    </w:rPr>
                    <w:t>同类专业合作企业的融合度及合作形式、内容等情况。</w:t>
                  </w:r>
                </w:p>
              </w:tc>
            </w:tr>
            <w:tr>
              <w:tc>
                <w:tcPr>
                  <w:tcW w:type="dxa" w:w="674"/>
                  <w:vMerge/>
                  <w:tcBorders>
                    <w:top w:val="none" w:color="000000" w:sz="4"/>
                    <w:left w:val="single" w:color="000000" w:sz="4"/>
                    <w:bottom w:val="single" w:color="000000" w:sz="4"/>
                    <w:right w:val="single" w:color="000000" w:sz="4"/>
                  </w:tcBorders>
                </w:tcP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《面向同类院校专业教师的调查问卷》</w:t>
                  </w:r>
                </w:p>
                <w:p>
                  <w:pPr>
                    <w:jc w:val="both"/>
                  </w:pPr>
                  <w:r>
                    <w:rPr>
                      <w:sz w:val="24"/>
                    </w:rPr>
                    <w:t>《面向同类院校专业教师的调查问卷样本》</w:t>
                  </w:r>
                </w:p>
                <w:p>
                  <w:pPr>
                    <w:jc w:val="both"/>
                  </w:pPr>
                  <w:r>
                    <w:rPr>
                      <w:sz w:val="24"/>
                    </w:rPr>
                    <w:t>《面向同类院校的访谈提纲》</w:t>
                  </w:r>
                </w:p>
                <w:p>
                  <w:pPr>
                    <w:jc w:val="both"/>
                  </w:pPr>
                  <w:r>
                    <w:rPr>
                      <w:sz w:val="24"/>
                    </w:rPr>
                    <w:t>《面向同类院校的访谈记录》</w:t>
                  </w:r>
                </w:p>
                <w:p>
                  <w:pPr>
                    <w:jc w:val="both"/>
                  </w:pPr>
                  <w:r>
                    <w:rPr>
                      <w:sz w:val="24"/>
                    </w:rPr>
                    <w:t>其他：访谈会议照片、录音等过程性材料</w:t>
                  </w:r>
                </w:p>
              </w:tc>
            </w:tr>
            <w:tr>
              <w:tc>
                <w:tcPr>
                  <w:tcW w:type="dxa" w:w="674"/>
                  <w:vMerge w:val="restart"/>
                  <w:tcBorders>
                    <w:top w:val="none" w:color="000000" w:sz="4"/>
                    <w:left w:val="single" w:color="000000" w:sz="4"/>
                    <w:bottom w:val="single" w:color="000000" w:sz="4"/>
                    <w:right w:val="single" w:color="000000" w:sz="4"/>
                  </w:tcBorders>
                  <w:shd w:fill="FFFFFF"/>
                  <w:vAlign w:val="top"/>
                </w:tcPr>
                <w:p>
                  <w:pPr>
                    <w:jc w:val="center"/>
                  </w:pPr>
                  <w:r>
                    <w:rPr>
                      <w:b/>
                      <w:sz w:val="24"/>
                    </w:rPr>
                    <w:t>毕业生调查</w:t>
                  </w: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通过问卷调查回收问卷，面向本校毕业生开展定向调研。</w:t>
                  </w:r>
                </w:p>
                <w:p>
                  <w:pPr>
                    <w:jc w:val="both"/>
                  </w:pPr>
                  <w:r>
                    <w:rPr>
                      <w:b/>
                      <w:sz w:val="24"/>
                    </w:rPr>
                    <w:t>1.调研对象：</w:t>
                  </w:r>
                </w:p>
                <w:p>
                  <w:pPr>
                    <w:jc w:val="both"/>
                  </w:pPr>
                  <w:r>
                    <w:rPr>
                      <w:sz w:val="24"/>
                    </w:rPr>
                    <w:t>专业内各专业毕业</w:t>
                  </w:r>
                  <w:r>
                    <w:rPr>
                      <w:sz w:val="24"/>
                    </w:rPr>
                    <w:t>5年以内的本校毕业生。</w:t>
                  </w:r>
                </w:p>
                <w:p>
                  <w:pPr>
                    <w:jc w:val="both"/>
                  </w:pPr>
                  <w:r>
                    <w:rPr>
                      <w:b/>
                      <w:sz w:val="24"/>
                    </w:rPr>
                    <w:t>2.调研内容：</w:t>
                  </w:r>
                </w:p>
                <w:p>
                  <w:pPr>
                    <w:jc w:val="both"/>
                  </w:pPr>
                  <w:r>
                    <w:rPr>
                      <w:sz w:val="24"/>
                    </w:rPr>
                    <w:t>（1）</w:t>
                  </w:r>
                  <w:r>
                    <w:rPr>
                      <w:sz w:val="24"/>
                    </w:rPr>
                    <w:t>毕业生的基础信息，如：毕业年份、就读专业等；</w:t>
                  </w:r>
                </w:p>
                <w:p>
                  <w:pPr>
                    <w:jc w:val="both"/>
                  </w:pPr>
                  <w:r>
                    <w:rPr>
                      <w:sz w:val="24"/>
                    </w:rPr>
                    <w:t>（2）</w:t>
                  </w:r>
                  <w:r>
                    <w:rPr>
                      <w:sz w:val="24"/>
                    </w:rPr>
                    <w:t>毕业生的就业情况，如：就业地区、企业类型、企业性质、企业规模、薪资水平、就业岗位及岗位升迁路径、岗位典型工作任务、岗位知识与技能要求、工作更换次数及原因等；</w:t>
                  </w:r>
                </w:p>
                <w:p>
                  <w:pPr>
                    <w:jc w:val="both"/>
                  </w:pPr>
                  <w:r>
                    <w:rPr>
                      <w:sz w:val="24"/>
                    </w:rPr>
                    <w:t>（3）</w:t>
                  </w:r>
                  <w:r>
                    <w:rPr>
                      <w:sz w:val="24"/>
                    </w:rPr>
                    <w:t>毕业生的升学情况，如：升学专业、升学原因、升学方法等；</w:t>
                  </w:r>
                </w:p>
                <w:p>
                  <w:pPr>
                    <w:jc w:val="both"/>
                  </w:pPr>
                  <w:r>
                    <w:rPr>
                      <w:sz w:val="24"/>
                    </w:rPr>
                    <w:t>（4）</w:t>
                  </w:r>
                  <w:r>
                    <w:rPr>
                      <w:sz w:val="24"/>
                    </w:rPr>
                    <w:t>毕业生的创业情况，如：创业时间、企业类型等；</w:t>
                  </w:r>
                </w:p>
                <w:p>
                  <w:pPr>
                    <w:jc w:val="both"/>
                  </w:pPr>
                  <w:r>
                    <w:rPr>
                      <w:sz w:val="24"/>
                    </w:rPr>
                    <w:t>（5）</w:t>
                  </w:r>
                  <w:r>
                    <w:rPr>
                      <w:sz w:val="24"/>
                    </w:rPr>
                    <w:t>对学校教学教学方式方法、教学内容等方面的评价反馈；</w:t>
                  </w:r>
                </w:p>
                <w:p>
                  <w:pPr>
                    <w:jc w:val="both"/>
                  </w:pPr>
                  <w:r>
                    <w:rPr>
                      <w:sz w:val="24"/>
                    </w:rPr>
                    <w:t>（6）</w:t>
                  </w:r>
                  <w:r>
                    <w:rPr>
                      <w:sz w:val="24"/>
                    </w:rPr>
                    <w:t>对学校专业证书（</w:t>
                  </w:r>
                  <w:r>
                    <w:rPr>
                      <w:sz w:val="24"/>
                    </w:rPr>
                    <w:t>1+X）考取、课程设置、人才规格（知识、技能、素质）培养、产业先进元素（新技术、新工艺、新规范等）的意见和建议。</w:t>
                  </w:r>
                </w:p>
              </w:tc>
            </w:tr>
            <w:tr>
              <w:tc>
                <w:tcPr>
                  <w:tcW w:type="dxa" w:w="674"/>
                  <w:vMerge/>
                  <w:tcBorders>
                    <w:top w:val="none" w:color="000000" w:sz="4"/>
                    <w:left w:val="single" w:color="000000" w:sz="4"/>
                    <w:bottom w:val="single" w:color="000000" w:sz="4"/>
                    <w:right w:val="single" w:color="000000" w:sz="4"/>
                  </w:tcBorders>
                </w:tcP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《面向毕业生的调查问卷》</w:t>
                  </w:r>
                </w:p>
                <w:p>
                  <w:pPr>
                    <w:jc w:val="both"/>
                  </w:pPr>
                  <w:r>
                    <w:rPr>
                      <w:sz w:val="24"/>
                    </w:rPr>
                    <w:t>《面向毕业生的调查问卷样本》</w:t>
                  </w:r>
                </w:p>
                <w:p>
                  <w:pPr>
                    <w:jc w:val="both"/>
                  </w:pPr>
                  <w:r>
                    <w:rPr>
                      <w:sz w:val="24"/>
                    </w:rPr>
                    <w:t>其他：线上访谈会议的录音、截屏等过程性材料</w:t>
                  </w:r>
                </w:p>
              </w:tc>
            </w:tr>
            <w:tr>
              <w:tc>
                <w:tcPr>
                  <w:tcW w:type="dxa" w:w="674"/>
                  <w:vMerge w:val="restart"/>
                  <w:tcBorders>
                    <w:top w:val="none" w:color="000000" w:sz="4"/>
                    <w:left w:val="single" w:color="000000" w:sz="4"/>
                    <w:bottom w:val="single" w:color="000000" w:sz="4"/>
                    <w:right w:val="single" w:color="000000" w:sz="4"/>
                  </w:tcBorders>
                  <w:shd w:fill="FFFFFF"/>
                  <w:vAlign w:val="top"/>
                </w:tcPr>
                <w:p>
                  <w:pPr>
                    <w:jc w:val="center"/>
                  </w:pPr>
                  <w:r>
                    <w:rPr>
                      <w:b/>
                      <w:sz w:val="24"/>
                    </w:rPr>
                    <w:t>在校生调查</w:t>
                  </w: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通过问卷调查回收问卷，面向本校在校生开展定向调研。</w:t>
                  </w:r>
                </w:p>
                <w:p>
                  <w:pPr>
                    <w:jc w:val="both"/>
                  </w:pPr>
                  <w:r>
                    <w:rPr>
                      <w:b/>
                      <w:sz w:val="24"/>
                    </w:rPr>
                    <w:t>1.调研对象：</w:t>
                  </w:r>
                </w:p>
                <w:p>
                  <w:pPr>
                    <w:jc w:val="both"/>
                  </w:pPr>
                  <w:r>
                    <w:rPr>
                      <w:sz w:val="24"/>
                    </w:rPr>
                    <w:t>专业内各专业的本校在校生（三个年级）。</w:t>
                  </w:r>
                </w:p>
                <w:p>
                  <w:pPr>
                    <w:jc w:val="both"/>
                  </w:pPr>
                  <w:r>
                    <w:rPr>
                      <w:b/>
                      <w:sz w:val="24"/>
                    </w:rPr>
                    <w:t>2.调研内容：</w:t>
                  </w:r>
                </w:p>
                <w:p>
                  <w:pPr>
                    <w:jc w:val="both"/>
                  </w:pPr>
                  <w:r>
                    <w:rPr>
                      <w:sz w:val="24"/>
                    </w:rPr>
                    <w:t>（1）</w:t>
                  </w:r>
                  <w:r>
                    <w:rPr>
                      <w:sz w:val="24"/>
                    </w:rPr>
                    <w:t>在校生报读学校、专业的原因，如：个人爱好、学校</w:t>
                  </w:r>
                  <w:r>
                    <w:rPr>
                      <w:sz w:val="24"/>
                    </w:rPr>
                    <w:t>/专业知/名度等；</w:t>
                  </w:r>
                </w:p>
                <w:p>
                  <w:pPr>
                    <w:jc w:val="both"/>
                  </w:pPr>
                  <w:r>
                    <w:rPr>
                      <w:sz w:val="24"/>
                    </w:rPr>
                    <w:t>（2）</w:t>
                  </w:r>
                  <w:r>
                    <w:rPr>
                      <w:sz w:val="24"/>
                    </w:rPr>
                    <w:t>在校生对课程、授课方式、实训项目、实训方式的感兴趣程度；</w:t>
                  </w:r>
                </w:p>
                <w:p>
                  <w:pPr>
                    <w:jc w:val="both"/>
                  </w:pPr>
                  <w:r>
                    <w:rPr>
                      <w:sz w:val="24"/>
                    </w:rPr>
                    <w:t>（3）</w:t>
                  </w:r>
                  <w:r>
                    <w:rPr>
                      <w:sz w:val="24"/>
                    </w:rPr>
                    <w:t>在校生在专业学习上的困难，如：无法专心上课、没有学习方式等；</w:t>
                  </w:r>
                </w:p>
                <w:p>
                  <w:pPr>
                    <w:jc w:val="both"/>
                  </w:pPr>
                  <w:r>
                    <w:rPr>
                      <w:sz w:val="24"/>
                    </w:rPr>
                    <w:t>（4）</w:t>
                  </w:r>
                  <w:r>
                    <w:rPr>
                      <w:sz w:val="24"/>
                    </w:rPr>
                    <w:t>在校生的升学意向，如：升学原因、升学原因、升学障碍等；</w:t>
                  </w:r>
                </w:p>
                <w:p>
                  <w:pPr>
                    <w:jc w:val="both"/>
                  </w:pPr>
                  <w:r>
                    <w:rPr>
                      <w:sz w:val="24"/>
                    </w:rPr>
                    <w:t>（5）</w:t>
                  </w:r>
                  <w:r>
                    <w:rPr>
                      <w:sz w:val="24"/>
                    </w:rPr>
                    <w:t>在校生的就业意向，如：就业地区、就业岗位、薪资期待等；</w:t>
                  </w:r>
                </w:p>
                <w:p>
                  <w:pPr>
                    <w:jc w:val="both"/>
                  </w:pPr>
                  <w:r>
                    <w:rPr>
                      <w:sz w:val="24"/>
                    </w:rPr>
                    <w:t>（6）</w:t>
                  </w:r>
                  <w:r>
                    <w:rPr>
                      <w:sz w:val="24"/>
                    </w:rPr>
                    <w:t>对学校专业课程设置、职业技能训练、教学过程与效果的评价反馈。</w:t>
                  </w:r>
                </w:p>
              </w:tc>
            </w:tr>
            <w:tr>
              <w:tc>
                <w:tcPr>
                  <w:tcW w:type="dxa" w:w="674"/>
                  <w:vMerge/>
                  <w:tcBorders>
                    <w:top w:val="none" w:color="000000" w:sz="4"/>
                    <w:left w:val="single" w:color="000000" w:sz="4"/>
                    <w:bottom w:val="single" w:color="000000" w:sz="4"/>
                    <w:right w:val="single" w:color="000000" w:sz="4"/>
                  </w:tcBorders>
                </w:tcP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《面向在校生的调查问卷》</w:t>
                  </w:r>
                </w:p>
                <w:p>
                  <w:pPr>
                    <w:jc w:val="both"/>
                  </w:pPr>
                  <w:r>
                    <w:rPr>
                      <w:sz w:val="24"/>
                    </w:rPr>
                    <w:t>《面向在校生的调查问卷样本》</w:t>
                  </w:r>
                </w:p>
              </w:tc>
            </w:tr>
            <w:tr>
              <w:tc>
                <w:tcPr>
                  <w:tcW w:type="dxa" w:w="674"/>
                  <w:vMerge w:val="restart"/>
                  <w:tcBorders>
                    <w:top w:val="none" w:color="000000" w:sz="4"/>
                    <w:left w:val="single" w:color="000000" w:sz="4"/>
                    <w:bottom w:val="single" w:color="000000" w:sz="4"/>
                    <w:right w:val="single" w:color="000000" w:sz="4"/>
                  </w:tcBorders>
                  <w:shd w:fill="FFFFFF"/>
                  <w:vAlign w:val="top"/>
                </w:tcPr>
                <w:p>
                  <w:pPr>
                    <w:jc w:val="center"/>
                  </w:pPr>
                  <w:r>
                    <w:rPr>
                      <w:b/>
                      <w:sz w:val="24"/>
                    </w:rPr>
                    <w:t>文献研究</w:t>
                  </w: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通过中国知网、政府官网、行业协会等网站，梳理政策、经济、专业建设改革现状等相关文献研究。研究方向如下：</w:t>
                  </w:r>
                </w:p>
                <w:p>
                  <w:pPr>
                    <w:jc w:val="both"/>
                  </w:pPr>
                  <w:r>
                    <w:rPr>
                      <w:sz w:val="24"/>
                    </w:rPr>
                    <w:t>1.国家或广东省相关政策对产业发展的支持，如：《广东省人民政府关于培育发展战略性支柱产业集和战略性新兴产业集的意见（粤府函〔2020〕82号）》等；</w:t>
                  </w:r>
                </w:p>
                <w:p>
                  <w:pPr>
                    <w:jc w:val="both"/>
                  </w:pPr>
                  <w:r>
                    <w:rPr>
                      <w:sz w:val="24"/>
                    </w:rPr>
                    <w:t>2.国家或广东省相关政策对专业建设的支持，如：《职业教育提质培优行动计划（2020—2023年）》、《国家职业教育改革实施方案》等；</w:t>
                  </w:r>
                </w:p>
                <w:p>
                  <w:pPr>
                    <w:jc w:val="both"/>
                  </w:pPr>
                  <w:r>
                    <w:rPr>
                      <w:sz w:val="24"/>
                    </w:rPr>
                    <w:t>3.国家或广东省产业集发展现状及趋势分析，包括：产业结构、市场规模现状及趋势等；</w:t>
                  </w:r>
                </w:p>
                <w:p>
                  <w:pPr>
                    <w:jc w:val="both"/>
                  </w:pPr>
                  <w:r>
                    <w:rPr>
                      <w:sz w:val="24"/>
                    </w:rPr>
                    <w:t>4.经济转型升级、产业结构调整等，对行业有关技术技能领域提出的新要求；</w:t>
                  </w:r>
                </w:p>
                <w:p>
                  <w:pPr>
                    <w:jc w:val="both"/>
                  </w:pPr>
                  <w:r>
                    <w:rPr>
                      <w:sz w:val="24"/>
                    </w:rPr>
                    <w:t>5.有关领域职业岗位设置情况及行业人才结构现状；</w:t>
                  </w:r>
                </w:p>
                <w:p>
                  <w:pPr>
                    <w:jc w:val="both"/>
                  </w:pPr>
                  <w:r>
                    <w:rPr>
                      <w:sz w:val="24"/>
                    </w:rPr>
                    <w:t>6.行业技术技能人才供求状况，特别是高等职业教育的人才供求状况。</w:t>
                  </w:r>
                </w:p>
              </w:tc>
            </w:tr>
            <w:tr>
              <w:tc>
                <w:tcPr>
                  <w:tcW w:type="dxa" w:w="674"/>
                  <w:vMerge/>
                  <w:tcBorders>
                    <w:top w:val="none" w:color="000000" w:sz="4"/>
                    <w:left w:val="single" w:color="000000" w:sz="4"/>
                    <w:bottom w:val="single" w:color="000000" w:sz="4"/>
                    <w:right w:val="single" w:color="000000" w:sz="4"/>
                  </w:tcBorders>
                </w:tcP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《参考文献汇总》包括：相关政策、产业行业报告、学术论文、相关质量年报等。</w:t>
                  </w:r>
                </w:p>
              </w:tc>
            </w:tr>
            <w:tr>
              <w:tc>
                <w:tcPr>
                  <w:tcW w:type="dxa" w:w="674"/>
                  <w:vMerge w:val="restart"/>
                  <w:tcBorders>
                    <w:top w:val="none" w:color="000000" w:sz="4"/>
                    <w:left w:val="single" w:color="000000" w:sz="4"/>
                    <w:bottom w:val="single" w:color="000000" w:sz="4"/>
                    <w:right w:val="single" w:color="000000" w:sz="4"/>
                  </w:tcBorders>
                  <w:shd w:fill="FFFFFF"/>
                  <w:vAlign w:val="top"/>
                </w:tcPr>
                <w:p>
                  <w:pPr>
                    <w:jc w:val="center"/>
                  </w:pPr>
                  <w:r>
                    <w:rPr>
                      <w:b/>
                      <w:sz w:val="24"/>
                    </w:rPr>
                    <w:t>报告撰写</w:t>
                  </w:r>
                </w:p>
              </w:tc>
              <w:tc>
                <w:tcPr>
                  <w:tcW w:type="dxa" w:w="4923"/>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b/>
                      <w:sz w:val="24"/>
                    </w:rPr>
                    <w:t>《专业群多维调研与分析报告》部分框架如下：</w:t>
                  </w:r>
                </w:p>
                <w:p>
                  <w:pPr>
                    <w:jc w:val="both"/>
                  </w:pPr>
                  <w:r>
                    <w:rPr>
                      <w:b/>
                      <w:sz w:val="24"/>
                    </w:rPr>
                    <w:t>1.专业群的产业链分析：</w:t>
                  </w:r>
                </w:p>
                <w:p>
                  <w:pPr>
                    <w:jc w:val="both"/>
                  </w:pPr>
                  <w:r>
                    <w:rPr>
                      <w:sz w:val="24"/>
                    </w:rPr>
                    <w:t>专业群产业集群分析（包括：核心产业、关联产业、衍生产业分析）；</w:t>
                  </w:r>
                </w:p>
                <w:p>
                  <w:pPr>
                    <w:jc w:val="both"/>
                  </w:pPr>
                  <w:r>
                    <w:rPr>
                      <w:sz w:val="24"/>
                    </w:rPr>
                    <w:t>专业群产业链分析（包括：产业链概述，上中下游产业发展分析）。</w:t>
                  </w:r>
                </w:p>
                <w:p>
                  <w:pPr>
                    <w:jc w:val="both"/>
                  </w:pPr>
                  <w:r>
                    <w:rPr>
                      <w:b/>
                      <w:sz w:val="24"/>
                    </w:rPr>
                    <w:t>2.产业链的技术链分析：</w:t>
                  </w:r>
                </w:p>
                <w:p>
                  <w:pPr>
                    <w:jc w:val="both"/>
                  </w:pPr>
                  <w:r>
                    <w:rPr>
                      <w:sz w:val="24"/>
                    </w:rPr>
                    <w:t>专业群产业链上游产业的技术分析（包括：产业链对接核心技术图）；</w:t>
                  </w:r>
                </w:p>
                <w:p>
                  <w:pPr>
                    <w:jc w:val="both"/>
                  </w:pPr>
                  <w:r>
                    <w:rPr>
                      <w:sz w:val="24"/>
                    </w:rPr>
                    <w:t>专业群产业链中游产业的技术分析（包括：产业链对接核心技术图）；</w:t>
                  </w:r>
                </w:p>
                <w:p>
                  <w:pPr>
                    <w:jc w:val="both"/>
                  </w:pPr>
                  <w:r>
                    <w:rPr>
                      <w:sz w:val="24"/>
                    </w:rPr>
                    <w:t>专业群产业链下游产业的技术分析（包括：产业链对接核心技术图）。</w:t>
                  </w:r>
                </w:p>
                <w:p>
                  <w:pPr>
                    <w:jc w:val="both"/>
                  </w:pPr>
                  <w:r>
                    <w:rPr>
                      <w:b/>
                      <w:sz w:val="24"/>
                    </w:rPr>
                    <w:t>3.技术链的人才链分析：</w:t>
                  </w:r>
                </w:p>
                <w:p>
                  <w:pPr>
                    <w:jc w:val="both"/>
                  </w:pPr>
                  <w:r>
                    <w:rPr>
                      <w:sz w:val="24"/>
                    </w:rPr>
                    <w:t>技术链的人才岗位探索性分析（包括：技术链对接岗位群列表）；</w:t>
                  </w:r>
                </w:p>
                <w:p>
                  <w:pPr>
                    <w:jc w:val="both"/>
                  </w:pPr>
                  <w:r>
                    <w:rPr>
                      <w:sz w:val="24"/>
                    </w:rPr>
                    <w:t>技术链的人才需求及特征分析（需求量、地域、学历要求、经验要求等）。</w:t>
                  </w:r>
                </w:p>
                <w:p>
                  <w:pPr>
                    <w:jc w:val="both"/>
                  </w:pPr>
                  <w:r>
                    <w:rPr>
                      <w:b/>
                      <w:sz w:val="24"/>
                    </w:rPr>
                    <w:t>4.产业人才现状分析：</w:t>
                  </w:r>
                </w:p>
                <w:p>
                  <w:pPr>
                    <w:jc w:val="both"/>
                  </w:pPr>
                  <w:r>
                    <w:rPr>
                      <w:sz w:val="24"/>
                    </w:rPr>
                    <w:t>产业标准化现状及发展趋势（包括：通用技术标准、职业资格、行业规范等）；</w:t>
                  </w:r>
                </w:p>
                <w:p>
                  <w:pPr>
                    <w:jc w:val="both"/>
                  </w:pPr>
                  <w:r>
                    <w:rPr>
                      <w:sz w:val="24"/>
                    </w:rPr>
                    <w:t>产业人才现状分析（包括：人才结构现状、岗位分布、人才培养机制等）；</w:t>
                  </w:r>
                </w:p>
                <w:p>
                  <w:pPr>
                    <w:jc w:val="both"/>
                  </w:pPr>
                  <w:r>
                    <w:rPr>
                      <w:sz w:val="24"/>
                    </w:rPr>
                    <w:t>产业人才需求预测（包括：人才数量需求预测、人才技术要求预测、人才培养规格预测等）</w:t>
                  </w:r>
                </w:p>
                <w:p>
                  <w:pPr>
                    <w:jc w:val="both"/>
                  </w:pPr>
                  <w:r>
                    <w:rPr>
                      <w:b/>
                      <w:sz w:val="24"/>
                    </w:rPr>
                    <w:t>5.职业院校人才培养现状分析：</w:t>
                  </w:r>
                </w:p>
                <w:p>
                  <w:pPr>
                    <w:jc w:val="both"/>
                  </w:pPr>
                  <w:r>
                    <w:rPr>
                      <w:sz w:val="24"/>
                    </w:rPr>
                    <w:t>专业（群）建设情况分析（包括：人才培养目标、课程设置、教学方法、实训室建设等）；</w:t>
                  </w:r>
                </w:p>
                <w:p>
                  <w:pPr>
                    <w:jc w:val="both"/>
                  </w:pPr>
                  <w:r>
                    <w:rPr>
                      <w:sz w:val="24"/>
                    </w:rPr>
                    <w:t>专业（群）毕业生就业情况分析（包括：企业类型、岗位分布、岗位职责、岗位晋升路径、课程评价等）；</w:t>
                  </w:r>
                </w:p>
                <w:p>
                  <w:pPr>
                    <w:jc w:val="both"/>
                  </w:pPr>
                  <w:r>
                    <w:rPr>
                      <w:sz w:val="24"/>
                    </w:rPr>
                    <w:t>专业（群）在校生就读情况分析（包括：课程评价、毕业规划等）；</w:t>
                  </w:r>
                </w:p>
                <w:p>
                  <w:pPr>
                    <w:jc w:val="both"/>
                  </w:pPr>
                  <w:r>
                    <w:rPr>
                      <w:sz w:val="24"/>
                    </w:rPr>
                    <w:t>专业（群）校企合作现状（包括：合作意向、合作形式、困境等）。</w:t>
                  </w:r>
                </w:p>
                <w:p>
                  <w:pPr>
                    <w:jc w:val="both"/>
                  </w:pPr>
                  <w:r>
                    <w:rPr>
                      <w:b/>
                      <w:sz w:val="24"/>
                    </w:rPr>
                    <w:t>6.专业群组群逻辑（产业链-技术链-人才链-专业群）。</w:t>
                  </w:r>
                </w:p>
                <w:p>
                  <w:pPr>
                    <w:jc w:val="both"/>
                  </w:pPr>
                  <w:r>
                    <w:rPr>
                      <w:b/>
                      <w:sz w:val="24"/>
                    </w:rPr>
                    <w:t>7.调研结论：</w:t>
                  </w:r>
                </w:p>
                <w:p>
                  <w:pPr>
                    <w:jc w:val="both"/>
                  </w:pPr>
                  <w:r>
                    <w:rPr>
                      <w:sz w:val="24"/>
                    </w:rPr>
                    <w:t>专业群建设的必要性（包括：国家政策支撑、产业集群发展需要、人才队伍培养需要、专业布局优化需要等）；</w:t>
                  </w:r>
                </w:p>
                <w:p>
                  <w:pPr>
                    <w:jc w:val="both"/>
                  </w:pPr>
                  <w:r>
                    <w:rPr>
                      <w:sz w:val="24"/>
                    </w:rPr>
                    <w:t>专业群建设的可行性（包括：就业前景、学校师资与实训现状等）。</w:t>
                  </w:r>
                </w:p>
                <w:p>
                  <w:pPr>
                    <w:jc w:val="left"/>
                  </w:pPr>
                  <w:r>
                    <w:rPr>
                      <w:sz w:val="24"/>
                    </w:rPr>
                    <w:t>专业群建设的对策和建议（包括：岗位群职业能力分析、专业群课程体系构建的必要性等）。</w:t>
                  </w:r>
                </w:p>
              </w:tc>
            </w:tr>
            <w:tr>
              <w:tc>
                <w:tcPr>
                  <w:tcW w:type="dxa" w:w="674"/>
                  <w:vMerge/>
                  <w:tcBorders>
                    <w:top w:val="none" w:color="000000" w:sz="4"/>
                    <w:left w:val="single" w:color="000000" w:sz="4"/>
                    <w:bottom w:val="single" w:color="000000" w:sz="4"/>
                    <w:right w:val="single" w:color="000000" w:sz="4"/>
                  </w:tcBorders>
                </w:tcPr>
                <w:p/>
              </w:tc>
              <w:tc>
                <w:tcPr>
                  <w:tcW w:type="dxa" w:w="4923"/>
                  <w:tcBorders>
                    <w:top w:val="none" w:color="000000" w:sz="4"/>
                    <w:left w:val="single" w:color="000000" w:sz="4"/>
                    <w:bottom w:val="single" w:color="000000" w:sz="4"/>
                    <w:right w:val="single" w:color="000000" w:sz="4"/>
                  </w:tcBorders>
                  <w:shd w:fill="FFFFFF"/>
                  <w:vAlign w:val="top"/>
                </w:tcPr>
                <w:p>
                  <w:pPr>
                    <w:jc w:val="both"/>
                  </w:pPr>
                  <w:r>
                    <w:rPr>
                      <w:sz w:val="24"/>
                    </w:rPr>
                    <w:t>二、输出成果：</w:t>
                  </w:r>
                </w:p>
                <w:p>
                  <w:pPr>
                    <w:jc w:val="both"/>
                  </w:pPr>
                  <w:r>
                    <w:rPr>
                      <w:sz w:val="24"/>
                    </w:rPr>
                    <w:t>《专业群多维调研与分析报告》</w:t>
                  </w:r>
                </w:p>
              </w:tc>
            </w:tr>
          </w:tbl>
          <w:p>
            <w:pPr>
              <w:jc w:val="left"/>
            </w:pPr>
            <w:r>
              <w:rPr>
                <w:sz w:val="24"/>
              </w:rPr>
              <w:t>（五）岗位群职业能力分析</w:t>
            </w:r>
          </w:p>
          <w:tbl>
            <w:tblPr>
              <w:tblBorders>
                <w:top w:val="none" w:color="000000" w:sz="4"/>
                <w:left w:val="none" w:color="000000" w:sz="4"/>
                <w:bottom w:val="none" w:color="000000" w:sz="4"/>
                <w:right w:val="none" w:color="000000" w:sz="4"/>
                <w:insideH w:val="none"/>
                <w:insideV w:val="none"/>
              </w:tblBorders>
            </w:tblPr>
            <w:tblGrid>
              <w:gridCol w:w="326"/>
              <w:gridCol w:w="259"/>
              <w:gridCol w:w="5012"/>
            </w:tblGrid>
            <w:tr>
              <w:tc>
                <w:tcPr>
                  <w:tcW w:type="dxa" w:w="585"/>
                  <w:gridSpan w:val="2"/>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5012"/>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326"/>
                  <w:vMerge w:val="restart"/>
                  <w:tcBorders>
                    <w:top w:val="none" w:color="000000" w:sz="4"/>
                    <w:left w:val="single" w:color="000000" w:sz="4"/>
                    <w:bottom w:val="single" w:color="000000" w:sz="4"/>
                    <w:right w:val="single" w:color="000000" w:sz="4"/>
                  </w:tcBorders>
                  <w:shd w:fill="FFFFFF"/>
                  <w:vAlign w:val="top"/>
                </w:tcPr>
                <w:p>
                  <w:pPr>
                    <w:jc w:val="both"/>
                  </w:pPr>
                  <w:r>
                    <w:rPr>
                      <w:b/>
                      <w:sz w:val="24"/>
                    </w:rPr>
                    <w:t>企业实践专家研讨会议</w:t>
                  </w:r>
                </w:p>
              </w:tc>
              <w:tc>
                <w:tcPr>
                  <w:tcW w:type="dxa" w:w="259"/>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会议准备</w:t>
                  </w:r>
                </w:p>
              </w:tc>
              <w:tc>
                <w:tcPr>
                  <w:tcW w:type="dxa" w:w="5012"/>
                  <w:tcBorders>
                    <w:top w:val="singl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b/>
                      <w:sz w:val="24"/>
                    </w:rPr>
                    <w:t>1.专业群对应的岗位群确定：</w:t>
                  </w:r>
                </w:p>
                <w:p>
                  <w:pPr>
                    <w:jc w:val="both"/>
                  </w:pPr>
                  <w:r>
                    <w:rPr>
                      <w:sz w:val="24"/>
                    </w:rPr>
                    <w:t>通过前期调研阶段对企业和毕业生的问卷调查、个案分析、访谈或座谈等多种途径，厘清的中高职毕业生的职业生涯发展路径，同时，综合考虑以下三个定岗原则，结合自身专业群特色定位，确定专业群培养目标岗位群。</w:t>
                  </w:r>
                </w:p>
                <w:p>
                  <w:pPr>
                    <w:jc w:val="both"/>
                  </w:pPr>
                  <w:r>
                    <w:rPr>
                      <w:sz w:val="24"/>
                    </w:rPr>
                    <w:t>定岗原则：（</w:t>
                  </w:r>
                  <w:r>
                    <w:rPr>
                      <w:sz w:val="24"/>
                    </w:rPr>
                    <w:t>1）关联性强：培养目标岗位群必须与本专业群的关联度高；（2）就业比重高：培养目标岗位群必须是大多数本专业群毕业生就业的岗位；（3）适量性：由于学生在校学习时间有限，培养目标岗位群必须适量；此外，岗位群的人才需求量、薪资水平分布、工作经验要求等因素。</w:t>
                  </w:r>
                </w:p>
                <w:p>
                  <w:pPr>
                    <w:jc w:val="both"/>
                  </w:pPr>
                  <w:r>
                    <w:rPr>
                      <w:b/>
                      <w:sz w:val="24"/>
                    </w:rPr>
                    <w:t>2.会议资料制作：</w:t>
                  </w:r>
                </w:p>
                <w:p>
                  <w:pPr>
                    <w:jc w:val="both"/>
                  </w:pPr>
                  <w:r>
                    <w:rPr>
                      <w:sz w:val="24"/>
                    </w:rPr>
                    <w:t>根据会前沟通需求及会中使用的目的，需提前准备的资料，包括但不限于：会议议程、专家邀请函、专家简历表（需回收）、参会人员名单、职业能力分析方法及路径、职业能力描述动词表等。</w:t>
                  </w:r>
                </w:p>
                <w:p>
                  <w:pPr>
                    <w:jc w:val="both"/>
                  </w:pPr>
                  <w:r>
                    <w:rPr>
                      <w:b/>
                      <w:sz w:val="24"/>
                    </w:rPr>
                    <w:t>3.企业实践专家筛选、邀请：</w:t>
                  </w:r>
                </w:p>
                <w:p>
                  <w:pPr>
                    <w:jc w:val="both"/>
                  </w:pPr>
                  <w:r>
                    <w:rPr>
                      <w:sz w:val="24"/>
                    </w:rPr>
                    <w:t>基于前期确定的专业群培养目标岗位群，筛选、邀请对应岗位群的，参与专家必须是来自行业企业，尤其是本专业（群）校企合作企业相应岗位的优秀员工代表，并达到以下要求：（</w:t>
                  </w:r>
                  <w:r>
                    <w:rPr>
                      <w:sz w:val="24"/>
                    </w:rPr>
                    <w:t>1）具有3年以上从事对应岗位群工作的经验；（2）具有一定的人员培训经验，最好是主管这一级的人员；（3）具有较好的语言表达能力，灵活应变能力强；（4）同一岗位（群）的专家必须是来自于不同的企业。</w:t>
                  </w:r>
                </w:p>
                <w:p>
                  <w:pPr>
                    <w:jc w:val="both"/>
                  </w:pPr>
                  <w:r>
                    <w:rPr>
                      <w:b/>
                      <w:sz w:val="24"/>
                    </w:rPr>
                    <w:t>4.主持人筛选、邀请：</w:t>
                  </w:r>
                </w:p>
                <w:p>
                  <w:pPr>
                    <w:jc w:val="both"/>
                  </w:pPr>
                  <w:r>
                    <w:rPr>
                      <w:sz w:val="24"/>
                    </w:rPr>
                    <w:t>基于职业能力分析会议流程及目标，筛选、邀请</w:t>
                  </w:r>
                  <w:r>
                    <w:rPr>
                      <w:sz w:val="24"/>
                    </w:rPr>
                    <w:t>1位会议主持人，要求：（1）具备职业能力分析会议的主持经验；（2）熟悉岗位群职业能力分析的方法、思路；（3）具有较高的现代职业教育理论水平；（4）能够调控会议进度、引导氛围，善于梳理总结。</w:t>
                  </w:r>
                </w:p>
                <w:p>
                  <w:pPr>
                    <w:jc w:val="both"/>
                  </w:pPr>
                  <w:r>
                    <w:rPr>
                      <w:b/>
                      <w:sz w:val="24"/>
                    </w:rPr>
                    <w:t>5.职业能力分析系统准备：</w:t>
                  </w:r>
                </w:p>
                <w:p>
                  <w:pPr>
                    <w:jc w:val="both"/>
                  </w:pPr>
                  <w:r>
                    <w:rPr>
                      <w:sz w:val="24"/>
                    </w:rPr>
                    <w:t>借助专业群人才培养方案研制管理平台，提前准备用于会议现场记录的职业能力分析系统，包括：（</w:t>
                  </w:r>
                  <w:r>
                    <w:rPr>
                      <w:sz w:val="24"/>
                    </w:rPr>
                    <w:t>1）按照岗位群名称，建立对应的职业能力分析页面；（2）按照企业实践专家名单及相关信息，建立用于职业分析系统登录的专家账号等。</w:t>
                  </w:r>
                </w:p>
                <w:p>
                  <w:pPr>
                    <w:jc w:val="both"/>
                  </w:pPr>
                  <w:r>
                    <w:rPr>
                      <w:b/>
                      <w:sz w:val="24"/>
                    </w:rPr>
                    <w:t>6.会议现场准备：</w:t>
                  </w:r>
                </w:p>
                <w:p>
                  <w:pPr>
                    <w:jc w:val="both"/>
                  </w:pPr>
                  <w:r>
                    <w:rPr>
                      <w:sz w:val="24"/>
                    </w:rPr>
                    <w:t>采取</w:t>
                  </w:r>
                  <w:r>
                    <w:rPr>
                      <w:sz w:val="24"/>
                    </w:rPr>
                    <w:t>U字型的会场布置形式，准备会场必须配备的电脑、投影、话筒等设备,便于现场及时记录和修改。</w:t>
                  </w:r>
                </w:p>
                <w:p>
                  <w:pPr>
                    <w:jc w:val="both"/>
                  </w:pPr>
                  <w:r>
                    <w:rPr>
                      <w:b/>
                      <w:sz w:val="24"/>
                    </w:rPr>
                    <w:t>7.会前通知提醒：</w:t>
                  </w:r>
                </w:p>
                <w:p>
                  <w:pPr>
                    <w:jc w:val="both"/>
                  </w:pPr>
                  <w:r>
                    <w:rPr>
                      <w:sz w:val="24"/>
                    </w:rPr>
                    <w:t>会前</w:t>
                  </w:r>
                  <w:r>
                    <w:rPr>
                      <w:sz w:val="24"/>
                    </w:rPr>
                    <w:t>1天建立专家群，明确会议内容与流程、时间、地点、到场联系人、停车位置、注意事项等，确保会议按时召开并达成预期成果。</w:t>
                  </w:r>
                </w:p>
              </w:tc>
            </w:tr>
            <w:tr>
              <w:tc>
                <w:tcPr>
                  <w:tcW w:type="dxa" w:w="326"/>
                  <w:vMerge/>
                  <w:tcBorders>
                    <w:top w:val="none" w:color="000000" w:sz="4"/>
                    <w:left w:val="single" w:color="000000" w:sz="4"/>
                    <w:bottom w:val="single" w:color="000000" w:sz="4"/>
                    <w:right w:val="single" w:color="000000" w:sz="4"/>
                  </w:tcBorders>
                </w:tcPr>
                <w:p/>
              </w:tc>
              <w:tc>
                <w:tcPr>
                  <w:tcW w:type="dxa" w:w="259"/>
                  <w:vMerge/>
                  <w:tcBorders>
                    <w:top w:val="none" w:color="000000" w:sz="4"/>
                    <w:left w:val="single" w:color="000000" w:sz="4"/>
                    <w:bottom w:val="single" w:color="000000" w:sz="4"/>
                    <w:right w:val="single" w:color="000000" w:sz="4"/>
                  </w:tcBorders>
                </w:tcPr>
                <w:p/>
              </w:tc>
              <w:tc>
                <w:tcPr>
                  <w:tcW w:type="dxa" w:w="5012"/>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《岗位群职业能力分析企业实践专家研讨会议资料》（议程、参会人员等）</w:t>
                  </w:r>
                </w:p>
                <w:p>
                  <w:pPr>
                    <w:jc w:val="both"/>
                  </w:pPr>
                  <w:r>
                    <w:rPr>
                      <w:sz w:val="24"/>
                    </w:rPr>
                    <w:t>《专家主持人简历表》</w:t>
                  </w:r>
                </w:p>
                <w:p>
                  <w:pPr>
                    <w:jc w:val="both"/>
                  </w:pPr>
                  <w:r>
                    <w:rPr>
                      <w:sz w:val="24"/>
                    </w:rPr>
                    <w:t>《企业实践专家简历表》</w:t>
                  </w:r>
                </w:p>
              </w:tc>
            </w:tr>
            <w:tr>
              <w:tc>
                <w:tcPr>
                  <w:tcW w:type="dxa" w:w="326"/>
                  <w:vMerge/>
                  <w:tcBorders>
                    <w:top w:val="none" w:color="000000" w:sz="4"/>
                    <w:left w:val="single" w:color="000000" w:sz="4"/>
                    <w:bottom w:val="single" w:color="000000" w:sz="4"/>
                    <w:right w:val="single" w:color="000000" w:sz="4"/>
                  </w:tcBorders>
                </w:tcPr>
                <w:p/>
              </w:tc>
              <w:tc>
                <w:tcPr>
                  <w:tcW w:type="dxa" w:w="259"/>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会议召开</w:t>
                  </w:r>
                </w:p>
              </w:tc>
              <w:tc>
                <w:tcPr>
                  <w:tcW w:type="dxa" w:w="5012"/>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举行现场岗位群职业能力分析企业实践专家研讨会议：</w:t>
                  </w:r>
                </w:p>
                <w:p>
                  <w:pPr>
                    <w:jc w:val="both"/>
                  </w:pPr>
                  <w:r>
                    <w:rPr>
                      <w:b/>
                      <w:sz w:val="24"/>
                    </w:rPr>
                    <w:t>1.参会人员：</w:t>
                  </w:r>
                </w:p>
                <w:p>
                  <w:pPr>
                    <w:jc w:val="both"/>
                  </w:pPr>
                  <w:r>
                    <w:rPr>
                      <w:sz w:val="24"/>
                    </w:rPr>
                    <w:t>企业实践专家；学校专业负责人，内各专业负责人、骨干教师、教研工程师等。</w:t>
                  </w:r>
                </w:p>
                <w:p>
                  <w:pPr>
                    <w:jc w:val="both"/>
                  </w:pPr>
                  <w:r>
                    <w:rPr>
                      <w:b/>
                      <w:sz w:val="24"/>
                    </w:rPr>
                    <w:t>2.辅助材料：</w:t>
                  </w:r>
                </w:p>
                <w:p>
                  <w:pPr>
                    <w:jc w:val="both"/>
                  </w:pPr>
                  <w:r>
                    <w:rPr>
                      <w:sz w:val="24"/>
                    </w:rPr>
                    <w:t>会议议程、参会人员介绍表、职业能力分析方法及路径、职业能力描述动词、职业能力分析表（案例）等。</w:t>
                  </w:r>
                </w:p>
                <w:p>
                  <w:pPr>
                    <w:jc w:val="both"/>
                  </w:pPr>
                  <w:r>
                    <w:rPr>
                      <w:b/>
                      <w:sz w:val="24"/>
                    </w:rPr>
                    <w:t>3.分析方法：</w:t>
                  </w:r>
                </w:p>
                <w:p>
                  <w:pPr>
                    <w:jc w:val="both"/>
                  </w:pPr>
                  <w:r>
                    <w:rPr>
                      <w:sz w:val="24"/>
                    </w:rPr>
                    <w:t>岗位群职业能力分析，从专业能力和职业素养两个维度</w:t>
                  </w:r>
                  <w:r>
                    <w:rPr>
                      <w:sz w:val="24"/>
                    </w:rPr>
                    <w:t>,通过专业群对接岗位群、岗位群细化为典型工作任务、典型工作任务细化为子任务、子任务细化为职业能力四个步骤，再从完成子任务应具备的技能、工具、方法、要求、知识五个方面分解分析职业能力。会上，采取头脑风暴法，主持人以明确的方式向所有参与者阐明问题，采用没有拘束的规则，尽力创造融洽轻松的会议气氛，专家们“自由”提出尽可能多的意见和见解。</w:t>
                  </w:r>
                </w:p>
                <w:p>
                  <w:pPr>
                    <w:jc w:val="both"/>
                  </w:pPr>
                  <w:r>
                    <w:rPr>
                      <w:b/>
                      <w:sz w:val="24"/>
                    </w:rPr>
                    <w:t>4.会议目标：</w:t>
                  </w:r>
                </w:p>
                <w:p>
                  <w:pPr>
                    <w:jc w:val="both"/>
                  </w:pPr>
                  <w:r>
                    <w:rPr>
                      <w:sz w:val="24"/>
                    </w:rPr>
                    <w:t>（1）</w:t>
                  </w:r>
                  <w:r>
                    <w:rPr>
                      <w:sz w:val="24"/>
                    </w:rPr>
                    <w:t>研讨、确定培养岗位群的职业生涯发展路径；</w:t>
                  </w:r>
                </w:p>
                <w:p>
                  <w:pPr>
                    <w:jc w:val="both"/>
                  </w:pPr>
                  <w:r>
                    <w:rPr>
                      <w:sz w:val="24"/>
                    </w:rPr>
                    <w:t>（2）</w:t>
                  </w:r>
                  <w:r>
                    <w:rPr>
                      <w:sz w:val="24"/>
                    </w:rPr>
                    <w:t>研讨、确定培养岗位群的典型工作任务，及其等级；</w:t>
                  </w:r>
                </w:p>
                <w:p>
                  <w:pPr>
                    <w:jc w:val="both"/>
                  </w:pPr>
                  <w:r>
                    <w:rPr>
                      <w:sz w:val="24"/>
                    </w:rPr>
                    <w:t>（3）</w:t>
                  </w:r>
                  <w:r>
                    <w:rPr>
                      <w:sz w:val="24"/>
                    </w:rPr>
                    <w:t>研讨、确定培养岗位群典型工作任务的子任务；</w:t>
                  </w:r>
                </w:p>
                <w:p>
                  <w:pPr>
                    <w:jc w:val="both"/>
                  </w:pPr>
                  <w:r>
                    <w:rPr>
                      <w:sz w:val="24"/>
                    </w:rPr>
                    <w:t>（4）</w:t>
                  </w:r>
                  <w:r>
                    <w:rPr>
                      <w:sz w:val="24"/>
                    </w:rPr>
                    <w:t>针对特定的典型工作任务、子任务，剖析完成各项子任务的职业能力；</w:t>
                  </w:r>
                </w:p>
                <w:p>
                  <w:pPr>
                    <w:jc w:val="both"/>
                  </w:pPr>
                  <w:r>
                    <w:rPr>
                      <w:sz w:val="24"/>
                    </w:rPr>
                    <w:t>（5）</w:t>
                  </w:r>
                  <w:r>
                    <w:rPr>
                      <w:sz w:val="24"/>
                    </w:rPr>
                    <w:t>研讨、确定培养岗位群的职业素养要求。</w:t>
                  </w:r>
                </w:p>
                <w:p>
                  <w:pPr>
                    <w:jc w:val="both"/>
                  </w:pPr>
                </w:p>
              </w:tc>
            </w:tr>
            <w:tr>
              <w:tc>
                <w:tcPr>
                  <w:tcW w:type="dxa" w:w="326"/>
                  <w:vMerge/>
                  <w:tcBorders>
                    <w:top w:val="none" w:color="000000" w:sz="4"/>
                    <w:left w:val="single" w:color="000000" w:sz="4"/>
                    <w:bottom w:val="single" w:color="000000" w:sz="4"/>
                    <w:right w:val="single" w:color="000000" w:sz="4"/>
                  </w:tcBorders>
                </w:tcPr>
                <w:p/>
              </w:tc>
              <w:tc>
                <w:tcPr>
                  <w:tcW w:type="dxa" w:w="259"/>
                  <w:vMerge/>
                  <w:tcBorders>
                    <w:top w:val="none" w:color="000000" w:sz="4"/>
                    <w:left w:val="single" w:color="000000" w:sz="4"/>
                    <w:bottom w:val="single" w:color="000000" w:sz="4"/>
                    <w:right w:val="single" w:color="000000" w:sz="4"/>
                  </w:tcBorders>
                </w:tcPr>
                <w:p/>
              </w:tc>
              <w:tc>
                <w:tcPr>
                  <w:tcW w:type="dxa" w:w="5012"/>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《岗位群职业生涯路径表》初稿</w:t>
                  </w:r>
                </w:p>
                <w:p>
                  <w:pPr>
                    <w:jc w:val="both"/>
                  </w:pPr>
                  <w:r>
                    <w:rPr>
                      <w:sz w:val="24"/>
                    </w:rPr>
                    <w:t>《岗位群典型工作任务列表》初稿</w:t>
                  </w:r>
                </w:p>
                <w:p>
                  <w:pPr>
                    <w:jc w:val="both"/>
                  </w:pPr>
                  <w:r>
                    <w:rPr>
                      <w:sz w:val="24"/>
                    </w:rPr>
                    <w:t>《岗位群职业能力分析表》初稿</w:t>
                  </w:r>
                </w:p>
                <w:p>
                  <w:pPr>
                    <w:jc w:val="both"/>
                  </w:pPr>
                  <w:r>
                    <w:rPr>
                      <w:sz w:val="24"/>
                    </w:rPr>
                    <w:t>《岗位群职业能力分析报告》初稿</w:t>
                  </w:r>
                </w:p>
                <w:p>
                  <w:pPr>
                    <w:jc w:val="both"/>
                  </w:pPr>
                  <w:r>
                    <w:rPr>
                      <w:sz w:val="24"/>
                    </w:rPr>
                    <w:t>其他：会议照片、录音、签到表等过程性材料</w:t>
                  </w:r>
                </w:p>
              </w:tc>
            </w:tr>
            <w:tr>
              <w:tc>
                <w:tcPr>
                  <w:tcW w:type="dxa" w:w="326"/>
                  <w:vMerge/>
                  <w:tcBorders>
                    <w:top w:val="none" w:color="000000" w:sz="4"/>
                    <w:left w:val="single" w:color="000000" w:sz="4"/>
                    <w:bottom w:val="single" w:color="000000" w:sz="4"/>
                    <w:right w:val="single" w:color="000000" w:sz="4"/>
                  </w:tcBorders>
                </w:tcPr>
                <w:p/>
              </w:tc>
              <w:tc>
                <w:tcPr>
                  <w:tcW w:type="dxa" w:w="259"/>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会后完善</w:t>
                  </w:r>
                </w:p>
              </w:tc>
              <w:tc>
                <w:tcPr>
                  <w:tcW w:type="dxa" w:w="5012"/>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为使职业能力描述的修订、合并、删除、补充等工作规范有序，后期整理职业能力分析表时，项目组融合相关国家职业标准、</w:t>
                  </w:r>
                  <w:r>
                    <w:rPr>
                      <w:sz w:val="24"/>
                    </w:rPr>
                    <w:t>1+X职业技能等级证书标准、行业标准、企业标准，对岗位职业能力分析表进行优化、完善，并遵循以下三个原则：</w:t>
                  </w:r>
                </w:p>
                <w:p>
                  <w:pPr>
                    <w:jc w:val="both"/>
                  </w:pPr>
                  <w:r>
                    <w:rPr>
                      <w:b/>
                      <w:sz w:val="24"/>
                    </w:rPr>
                    <w:t>1.修订的“两不”原则：</w:t>
                  </w:r>
                </w:p>
                <w:p>
                  <w:pPr>
                    <w:jc w:val="both"/>
                  </w:pPr>
                  <w:r>
                    <w:rPr>
                      <w:sz w:val="24"/>
                    </w:rPr>
                    <w:t>除有录音录像证明外，</w:t>
                  </w:r>
                  <w:r>
                    <w:rPr>
                      <w:sz w:val="24"/>
                    </w:rPr>
                    <w:t>“不”对专家意见进行修改，除语意非常明确外，“不” 对专家意见进行修改，确保专家意见的“原始性”。</w:t>
                  </w:r>
                </w:p>
                <w:p>
                  <w:pPr>
                    <w:jc w:val="both"/>
                  </w:pPr>
                  <w:r>
                    <w:rPr>
                      <w:b/>
                      <w:sz w:val="24"/>
                    </w:rPr>
                    <w:t>2.合并删除的“两不”原则：</w:t>
                  </w:r>
                </w:p>
                <w:p>
                  <w:pPr>
                    <w:jc w:val="both"/>
                  </w:pPr>
                  <w:r>
                    <w:rPr>
                      <w:sz w:val="24"/>
                    </w:rPr>
                    <w:t>跨任务的能力点</w:t>
                  </w:r>
                  <w:r>
                    <w:rPr>
                      <w:sz w:val="24"/>
                    </w:rPr>
                    <w:t>“不”合并删除，跨项目的任务“不”合并删除，保证不同任务下能力点的“独立行为能力”以及不同项目下任务的“独立行为能力”，若确实存在描述雷同的情况，加上情景条件以示区别。</w:t>
                  </w:r>
                </w:p>
                <w:p>
                  <w:pPr>
                    <w:jc w:val="both"/>
                  </w:pPr>
                  <w:r>
                    <w:rPr>
                      <w:b/>
                      <w:sz w:val="24"/>
                    </w:rPr>
                    <w:t>3.补充的“两有”原则：</w:t>
                  </w:r>
                </w:p>
                <w:p>
                  <w:pPr>
                    <w:jc w:val="both"/>
                  </w:pPr>
                  <w:r>
                    <w:rPr>
                      <w:sz w:val="24"/>
                    </w:rPr>
                    <w:t>在分析中</w:t>
                  </w:r>
                  <w:r>
                    <w:rPr>
                      <w:sz w:val="24"/>
                    </w:rPr>
                    <w:t>“有”同类型任务的，依据描述完整的进行能力点补充；对于任务缺漏的依此处理，避免因专家思维惯性和精力下降造成要素缺失。</w:t>
                  </w:r>
                </w:p>
                <w:p>
                  <w:pPr>
                    <w:jc w:val="both"/>
                  </w:pPr>
                  <w:r>
                    <w:rPr>
                      <w:sz w:val="24"/>
                    </w:rPr>
                    <w:t>项目组项目组进一步对表述不当的用语进行规范梳理后，对接给参会企业实践专家进行评审、定稿，最终通过平台对分析表中的典型工作任务、子任务与职业能力进行自动编码。</w:t>
                  </w:r>
                </w:p>
              </w:tc>
            </w:tr>
            <w:tr>
              <w:tc>
                <w:tcPr>
                  <w:tcW w:type="dxa" w:w="326"/>
                  <w:vMerge/>
                  <w:tcBorders>
                    <w:top w:val="none" w:color="000000" w:sz="4"/>
                    <w:left w:val="single" w:color="000000" w:sz="4"/>
                    <w:bottom w:val="single" w:color="000000" w:sz="4"/>
                    <w:right w:val="single" w:color="000000" w:sz="4"/>
                  </w:tcBorders>
                </w:tcPr>
                <w:p/>
              </w:tc>
              <w:tc>
                <w:tcPr>
                  <w:tcW w:type="dxa" w:w="259"/>
                  <w:vMerge/>
                  <w:tcBorders>
                    <w:top w:val="none" w:color="000000" w:sz="4"/>
                    <w:left w:val="single" w:color="000000" w:sz="4"/>
                    <w:bottom w:val="single" w:color="000000" w:sz="4"/>
                    <w:right w:val="single" w:color="000000" w:sz="4"/>
                  </w:tcBorders>
                </w:tcPr>
                <w:p/>
              </w:tc>
              <w:tc>
                <w:tcPr>
                  <w:tcW w:type="dxa" w:w="5012"/>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《岗位群职业生涯路径表》</w:t>
                  </w:r>
                </w:p>
                <w:p>
                  <w:pPr>
                    <w:jc w:val="both"/>
                  </w:pPr>
                  <w:r>
                    <w:rPr>
                      <w:sz w:val="24"/>
                    </w:rPr>
                    <w:t>《岗位群典型工作任务列表》</w:t>
                  </w:r>
                </w:p>
                <w:p>
                  <w:pPr>
                    <w:jc w:val="both"/>
                  </w:pPr>
                  <w:r>
                    <w:rPr>
                      <w:sz w:val="24"/>
                    </w:rPr>
                    <w:t>《岗位群职业能力分析表》</w:t>
                  </w:r>
                </w:p>
                <w:p>
                  <w:pPr>
                    <w:jc w:val="both"/>
                  </w:pPr>
                  <w:r>
                    <w:rPr>
                      <w:sz w:val="24"/>
                    </w:rPr>
                    <w:t>《岗位群职业能力分析报告》</w:t>
                  </w:r>
                </w:p>
              </w:tc>
            </w:tr>
          </w:tbl>
          <w:p>
            <w:pPr>
              <w:jc w:val="left"/>
            </w:pPr>
            <w:r>
              <w:rPr>
                <w:sz w:val="24"/>
              </w:rPr>
              <w:t>（六）专业群课程体系构建</w:t>
            </w:r>
          </w:p>
          <w:tbl>
            <w:tblPr>
              <w:tblBorders>
                <w:top w:val="none" w:color="000000" w:sz="4"/>
                <w:left w:val="none" w:color="000000" w:sz="4"/>
                <w:bottom w:val="none" w:color="000000" w:sz="4"/>
                <w:right w:val="none" w:color="000000" w:sz="4"/>
                <w:insideH w:val="none"/>
                <w:insideV w:val="none"/>
              </w:tblBorders>
            </w:tblPr>
            <w:tblGrid>
              <w:gridCol w:w="279"/>
              <w:gridCol w:w="389"/>
              <w:gridCol w:w="4930"/>
            </w:tblGrid>
            <w:tr>
              <w:tc>
                <w:tcPr>
                  <w:tcW w:type="dxa" w:w="668"/>
                  <w:gridSpan w:val="2"/>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930"/>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279"/>
                  <w:vMerge w:val="restart"/>
                  <w:tcBorders>
                    <w:top w:val="none" w:color="000000" w:sz="4"/>
                    <w:left w:val="single" w:color="000000" w:sz="4"/>
                    <w:bottom w:val="single" w:color="000000" w:sz="4"/>
                    <w:right w:val="single" w:color="000000" w:sz="4"/>
                  </w:tcBorders>
                  <w:shd w:fill="FFFFFF"/>
                  <w:vAlign w:val="top"/>
                </w:tcPr>
                <w:p>
                  <w:pPr>
                    <w:jc w:val="center"/>
                  </w:pPr>
                  <w:r>
                    <w:rPr>
                      <w:b/>
                      <w:sz w:val="24"/>
                    </w:rPr>
                    <w:t>课程专家研讨会议</w:t>
                  </w:r>
                </w:p>
              </w:tc>
              <w:tc>
                <w:tcPr>
                  <w:tcW w:type="dxa" w:w="389"/>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会议准备</w:t>
                  </w:r>
                </w:p>
              </w:tc>
              <w:tc>
                <w:tcPr>
                  <w:tcW w:type="dxa" w:w="4930"/>
                  <w:tcBorders>
                    <w:top w:val="singl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b/>
                      <w:sz w:val="24"/>
                    </w:rPr>
                    <w:t>1.会议资料制作：</w:t>
                  </w:r>
                </w:p>
                <w:p>
                  <w:pPr>
                    <w:jc w:val="both"/>
                  </w:pPr>
                  <w:r>
                    <w:rPr>
                      <w:sz w:val="24"/>
                    </w:rPr>
                    <w:t>根据会前沟通需求及会中使用的目的，需提前准备的资料，包括但不限于：会议议程、专家邀请函、专家简历表（需回收）、参会人员名单、专业群课程构建方法路径等。</w:t>
                  </w:r>
                </w:p>
                <w:p>
                  <w:pPr>
                    <w:jc w:val="both"/>
                  </w:pPr>
                  <w:r>
                    <w:rPr>
                      <w:b/>
                      <w:sz w:val="24"/>
                    </w:rPr>
                    <w:t>2.课程专家筛选、邀请：</w:t>
                  </w:r>
                </w:p>
                <w:p>
                  <w:pPr>
                    <w:jc w:val="both"/>
                  </w:pPr>
                  <w:r>
                    <w:rPr>
                      <w:sz w:val="24"/>
                    </w:rPr>
                    <w:t>基于前期确定的岗位群职业能力分析表，筛选、邀请相同专业群的课程专家，并达到以下要求：（</w:t>
                  </w:r>
                  <w:r>
                    <w:rPr>
                      <w:sz w:val="24"/>
                    </w:rPr>
                    <w:t>1）熟悉同类专业课程设置及教学情况；（2）熟悉专业群课程体系构建的方法、思路；（3）在专业教学领域有独到的见解或丰富的经验；（4）具有3-5年的企业实践经验；（5）具有较好的语言表达能力，灵活应变能力强。</w:t>
                  </w:r>
                </w:p>
                <w:p>
                  <w:pPr>
                    <w:jc w:val="both"/>
                  </w:pPr>
                  <w:r>
                    <w:rPr>
                      <w:b/>
                      <w:sz w:val="24"/>
                    </w:rPr>
                    <w:t>3.主持人筛选、邀请：</w:t>
                  </w:r>
                </w:p>
                <w:p>
                  <w:pPr>
                    <w:jc w:val="both"/>
                  </w:pPr>
                  <w:r>
                    <w:rPr>
                      <w:sz w:val="24"/>
                    </w:rPr>
                    <w:t>基于专业群课程构建会议流程及目标，筛选、邀请</w:t>
                  </w:r>
                  <w:r>
                    <w:rPr>
                      <w:sz w:val="24"/>
                    </w:rPr>
                    <w:t>1位会议主持人，要求：（1）具备专业群课程体系构建会议的主持经验；（2）熟悉专业群课程体系构建的方法、思路；（3）具有较高的现代职业教育理论水平；（4）能够调控会议进度、引导氛围，善于梳理总结。</w:t>
                  </w:r>
                </w:p>
                <w:p>
                  <w:pPr>
                    <w:jc w:val="both"/>
                  </w:pPr>
                  <w:r>
                    <w:rPr>
                      <w:b/>
                      <w:sz w:val="24"/>
                    </w:rPr>
                    <w:t>4.课程体系构建系统准备：</w:t>
                  </w:r>
                </w:p>
                <w:p>
                  <w:pPr>
                    <w:jc w:val="both"/>
                  </w:pPr>
                  <w:r>
                    <w:rPr>
                      <w:sz w:val="24"/>
                    </w:rPr>
                    <w:t>借助专业人才培养方案研制管理平台（平台参数见附件</w:t>
                  </w:r>
                  <w:r>
                    <w:rPr>
                      <w:sz w:val="24"/>
                    </w:rPr>
                    <w:t>2），提前准备用于会议现场记录的课程体系构建系统，包括：（1）建立对应的专业群课程体系构建页面；（2）按照课程专家名单及相关信息，建立用于课程体系构建系统登录的专家账号，等。</w:t>
                  </w:r>
                </w:p>
                <w:p>
                  <w:pPr>
                    <w:jc w:val="both"/>
                  </w:pPr>
                  <w:r>
                    <w:rPr>
                      <w:b/>
                      <w:sz w:val="24"/>
                    </w:rPr>
                    <w:t>5.会议现场准备：</w:t>
                  </w:r>
                </w:p>
                <w:p>
                  <w:pPr>
                    <w:jc w:val="both"/>
                  </w:pPr>
                  <w:r>
                    <w:rPr>
                      <w:sz w:val="24"/>
                    </w:rPr>
                    <w:t>采取</w:t>
                  </w:r>
                  <w:r>
                    <w:rPr>
                      <w:sz w:val="24"/>
                    </w:rPr>
                    <w:t>U字型的会场布置形式，准备会场必须配备的电脑、投影、话筒等设备,便于现场及时记录和修改。</w:t>
                  </w:r>
                </w:p>
                <w:p>
                  <w:pPr>
                    <w:jc w:val="both"/>
                  </w:pPr>
                  <w:r>
                    <w:rPr>
                      <w:b/>
                      <w:sz w:val="24"/>
                    </w:rPr>
                    <w:t>6.会前通知提醒：</w:t>
                  </w:r>
                </w:p>
                <w:p>
                  <w:pPr>
                    <w:jc w:val="both"/>
                  </w:pPr>
                  <w:r>
                    <w:rPr>
                      <w:sz w:val="24"/>
                    </w:rPr>
                    <w:t>会前</w:t>
                  </w:r>
                  <w:r>
                    <w:rPr>
                      <w:sz w:val="24"/>
                    </w:rPr>
                    <w:t>1天建立专家，明确会议内容与流程、时间、地点、到场联系人、停车位置、注意事项等，确保会议按时召开并达成预期成果。</w:t>
                  </w:r>
                </w:p>
              </w:tc>
            </w:tr>
            <w:tr>
              <w:tc>
                <w:tcPr>
                  <w:tcW w:type="dxa" w:w="279"/>
                  <w:vMerge/>
                  <w:tcBorders>
                    <w:top w:val="none" w:color="000000" w:sz="4"/>
                    <w:left w:val="single" w:color="000000" w:sz="4"/>
                    <w:bottom w:val="single" w:color="000000" w:sz="4"/>
                    <w:right w:val="single" w:color="000000" w:sz="4"/>
                  </w:tcBorders>
                </w:tcPr>
                <w:p/>
              </w:tc>
              <w:tc>
                <w:tcPr>
                  <w:tcW w:type="dxa" w:w="389"/>
                  <w:vMerge/>
                  <w:tcBorders>
                    <w:top w:val="none" w:color="000000" w:sz="4"/>
                    <w:left w:val="single" w:color="000000" w:sz="4"/>
                    <w:bottom w:val="single" w:color="000000" w:sz="4"/>
                    <w:right w:val="single" w:color="000000" w:sz="4"/>
                  </w:tcBorders>
                </w:tcPr>
                <w:p/>
              </w:tc>
              <w:tc>
                <w:tcPr>
                  <w:tcW w:type="dxa" w:w="4930"/>
                  <w:tcBorders>
                    <w:top w:val="none" w:color="000000" w:sz="4"/>
                    <w:left w:val="single" w:color="000000" w:sz="4"/>
                    <w:bottom w:val="single" w:color="000000" w:sz="4"/>
                    <w:right w:val="single" w:color="000000" w:sz="4"/>
                  </w:tcBorders>
                  <w:shd w:fill="FFFFFF"/>
                  <w:vAlign w:val="top"/>
                </w:tcPr>
                <w:p>
                  <w:pPr>
                    <w:jc w:val="both"/>
                  </w:pPr>
                  <w:r>
                    <w:rPr>
                      <w:b/>
                      <w:sz w:val="24"/>
                    </w:rPr>
                    <w:t>二、输出成果：</w:t>
                  </w:r>
                </w:p>
                <w:p>
                  <w:pPr>
                    <w:jc w:val="both"/>
                  </w:pPr>
                  <w:r>
                    <w:rPr>
                      <w:sz w:val="24"/>
                    </w:rPr>
                    <w:t>《专业群课程体系构建专家研讨会议资料》（议程、参会人员等）</w:t>
                  </w:r>
                </w:p>
                <w:p>
                  <w:pPr>
                    <w:jc w:val="both"/>
                  </w:pPr>
                  <w:r>
                    <w:rPr>
                      <w:sz w:val="24"/>
                    </w:rPr>
                    <w:t>《专家群主持人简历表》</w:t>
                  </w:r>
                </w:p>
                <w:p>
                  <w:pPr>
                    <w:jc w:val="both"/>
                  </w:pPr>
                  <w:r>
                    <w:rPr>
                      <w:sz w:val="24"/>
                    </w:rPr>
                    <w:t>《课程专家简历表》</w:t>
                  </w:r>
                </w:p>
              </w:tc>
            </w:tr>
            <w:tr>
              <w:tc>
                <w:tcPr>
                  <w:tcW w:type="dxa" w:w="279"/>
                  <w:vMerge/>
                  <w:tcBorders>
                    <w:top w:val="none" w:color="000000" w:sz="4"/>
                    <w:left w:val="single" w:color="000000" w:sz="4"/>
                    <w:bottom w:val="single" w:color="000000" w:sz="4"/>
                    <w:right w:val="single" w:color="000000" w:sz="4"/>
                  </w:tcBorders>
                </w:tcPr>
                <w:p/>
              </w:tc>
              <w:tc>
                <w:tcPr>
                  <w:tcW w:type="dxa" w:w="389"/>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会议召开</w:t>
                  </w:r>
                </w:p>
              </w:tc>
              <w:tc>
                <w:tcPr>
                  <w:tcW w:type="dxa" w:w="4930"/>
                  <w:tcBorders>
                    <w:top w:val="none" w:color="000000" w:sz="4"/>
                    <w:left w:val="single" w:color="000000" w:sz="4"/>
                    <w:bottom w:val="single" w:color="000000" w:sz="4"/>
                    <w:right w:val="single" w:color="000000" w:sz="4"/>
                  </w:tcBorders>
                  <w:shd w:fill="FFFFFF"/>
                  <w:vAlign w:val="top"/>
                </w:tcPr>
                <w:p>
                  <w:pPr>
                    <w:jc w:val="left"/>
                  </w:pPr>
                  <w:r>
                    <w:rPr>
                      <w:b/>
                      <w:sz w:val="24"/>
                    </w:rPr>
                    <w:t>一、服务内容与要求：</w:t>
                  </w:r>
                </w:p>
                <w:p>
                  <w:pPr>
                    <w:jc w:val="both"/>
                  </w:pPr>
                  <w:r>
                    <w:rPr>
                      <w:sz w:val="24"/>
                    </w:rPr>
                    <w:t>举行现场专业课程体系构建专家研讨会议：</w:t>
                  </w:r>
                </w:p>
                <w:p>
                  <w:pPr>
                    <w:jc w:val="left"/>
                  </w:pPr>
                  <w:r>
                    <w:rPr>
                      <w:b/>
                      <w:sz w:val="24"/>
                    </w:rPr>
                    <w:t>1.参会人员：</w:t>
                  </w:r>
                </w:p>
                <w:p>
                  <w:pPr>
                    <w:jc w:val="left"/>
                  </w:pPr>
                  <w:r>
                    <w:rPr>
                      <w:sz w:val="24"/>
                    </w:rPr>
                    <w:t>课程专家；学校专业负责人，内各专业负责人、骨干教师、教研工程师等。</w:t>
                  </w:r>
                </w:p>
                <w:p>
                  <w:pPr>
                    <w:jc w:val="left"/>
                  </w:pPr>
                  <w:r>
                    <w:rPr>
                      <w:b/>
                      <w:sz w:val="24"/>
                    </w:rPr>
                    <w:t>2.辅助材料：</w:t>
                  </w:r>
                </w:p>
                <w:p>
                  <w:pPr>
                    <w:jc w:val="left"/>
                  </w:pPr>
                  <w:r>
                    <w:rPr>
                      <w:sz w:val="24"/>
                    </w:rPr>
                    <w:t>会议议程、参会人员介绍表、岗位职业能力分析表、专业课程体系构建方法及路径、专业课程结构表、专业培养目标格式要求等。</w:t>
                  </w:r>
                </w:p>
                <w:p>
                  <w:pPr>
                    <w:jc w:val="left"/>
                  </w:pPr>
                  <w:r>
                    <w:rPr>
                      <w:b/>
                      <w:sz w:val="24"/>
                    </w:rPr>
                    <w:t>3.转化方法：</w:t>
                  </w:r>
                </w:p>
                <w:p>
                  <w:pPr>
                    <w:jc w:val="left"/>
                  </w:pPr>
                  <w:r>
                    <w:rPr>
                      <w:sz w:val="24"/>
                    </w:rPr>
                    <w:t>以典型工作任务为导向，以职业能力为核心，构建</w:t>
                  </w:r>
                  <w:r>
                    <w:rPr>
                      <w:sz w:val="24"/>
                    </w:rPr>
                    <w:t>“底层共享，中层分立，高层互选”的专业课程体系：</w:t>
                  </w:r>
                </w:p>
                <w:p>
                  <w:pPr>
                    <w:jc w:val="left"/>
                  </w:pPr>
                  <w:r>
                    <w:rPr>
                      <w:sz w:val="24"/>
                    </w:rPr>
                    <w:t>底层共享，是指为了让专业内所有专业的学生形成对未来职业领域的整体认知，掌握必备的职业通识能力，而开设的内各专业学生均必须掌握的知识、技能和素质课程；</w:t>
                  </w:r>
                </w:p>
                <w:p>
                  <w:pPr>
                    <w:jc w:val="left"/>
                  </w:pPr>
                  <w:r>
                    <w:rPr>
                      <w:sz w:val="24"/>
                    </w:rPr>
                    <w:t>中层分立，是指为了使各专业学生具备从事所在专业领域各岗位所需职业能力，开设的各专业职业岗位应具备的核心职业能力课程；</w:t>
                  </w:r>
                </w:p>
                <w:p>
                  <w:pPr>
                    <w:jc w:val="left"/>
                  </w:pPr>
                  <w:r>
                    <w:rPr>
                      <w:sz w:val="24"/>
                    </w:rPr>
                    <w:t>高层互选，是指为了让学生拥有通往职业岗位的系列学习路径，开设的动态化、立体化、模块化课程，该类课程会随着区域产业发展和市场变化的需求，跟进学生的个人兴趣，及时调整和更新课程内容，旨在帮助学生将学习路径与个人就业目标及职业生涯规划实现有效对接。</w:t>
                  </w:r>
                </w:p>
                <w:p>
                  <w:pPr>
                    <w:jc w:val="left"/>
                  </w:pPr>
                  <w:r>
                    <w:rPr>
                      <w:sz w:val="24"/>
                    </w:rPr>
                    <w:t>典型工作任务课程转化法，如下：（</w:t>
                  </w:r>
                  <w:r>
                    <w:rPr>
                      <w:sz w:val="24"/>
                    </w:rPr>
                    <w:t>1）直接转化法：一个典型工作任务就是一门课程；（2）组合转化法：多个典型工作任务是一门课程；（3）提炼转化法：典型工作任务不是课程的全部。构建“底层共享、中层分立、高层互选”的专业课程体系。</w:t>
                  </w:r>
                </w:p>
                <w:p>
                  <w:pPr>
                    <w:jc w:val="left"/>
                  </w:pPr>
                  <w:r>
                    <w:rPr>
                      <w:b/>
                      <w:sz w:val="24"/>
                    </w:rPr>
                    <w:t>4.会议目标：</w:t>
                  </w:r>
                </w:p>
                <w:p>
                  <w:pPr>
                    <w:jc w:val="left"/>
                  </w:pPr>
                  <w:r>
                    <w:rPr>
                      <w:sz w:val="24"/>
                    </w:rPr>
                    <w:t>（1）</w:t>
                  </w:r>
                  <w:r>
                    <w:rPr>
                      <w:sz w:val="24"/>
                    </w:rPr>
                    <w:t>研讨、优化岗位群典型工作任务；</w:t>
                  </w:r>
                </w:p>
                <w:p>
                  <w:pPr>
                    <w:jc w:val="left"/>
                  </w:pPr>
                  <w:r>
                    <w:rPr>
                      <w:sz w:val="24"/>
                    </w:rPr>
                    <w:t>（2）</w:t>
                  </w:r>
                  <w:r>
                    <w:rPr>
                      <w:sz w:val="24"/>
                    </w:rPr>
                    <w:t>研讨、确定专业群和各专业的培养目标；</w:t>
                  </w:r>
                </w:p>
                <w:p>
                  <w:pPr>
                    <w:jc w:val="left"/>
                  </w:pPr>
                  <w:r>
                    <w:rPr>
                      <w:sz w:val="24"/>
                    </w:rPr>
                    <w:t>（3）</w:t>
                  </w:r>
                  <w:r>
                    <w:rPr>
                      <w:sz w:val="24"/>
                    </w:rPr>
                    <w:t>研讨、确定专业群课程结构，包括专业群平台课程、专业核心课程、专业群拓展课程；</w:t>
                  </w:r>
                </w:p>
                <w:p>
                  <w:pPr>
                    <w:jc w:val="left"/>
                  </w:pPr>
                  <w:r>
                    <w:rPr>
                      <w:sz w:val="24"/>
                    </w:rPr>
                    <w:t>（4）</w:t>
                  </w:r>
                  <w:r>
                    <w:rPr>
                      <w:sz w:val="24"/>
                    </w:rPr>
                    <w:t>根据课程内容和逻辑，提供课程开设学期、学时的建议；</w:t>
                  </w:r>
                </w:p>
                <w:p>
                  <w:pPr>
                    <w:jc w:val="left"/>
                  </w:pPr>
                  <w:r>
                    <w:rPr>
                      <w:sz w:val="24"/>
                    </w:rPr>
                    <w:t>（5）</w:t>
                  </w:r>
                  <w:r>
                    <w:rPr>
                      <w:sz w:val="24"/>
                    </w:rPr>
                    <w:t>基于岗位群职业能力分析表，运用平台进行课程与能力对接。</w:t>
                  </w:r>
                </w:p>
                <w:p>
                  <w:pPr>
                    <w:jc w:val="left"/>
                  </w:pPr>
                </w:p>
              </w:tc>
            </w:tr>
            <w:tr>
              <w:tc>
                <w:tcPr>
                  <w:tcW w:type="dxa" w:w="279"/>
                  <w:vMerge/>
                  <w:tcBorders>
                    <w:top w:val="none" w:color="000000" w:sz="4"/>
                    <w:left w:val="single" w:color="000000" w:sz="4"/>
                    <w:bottom w:val="single" w:color="000000" w:sz="4"/>
                    <w:right w:val="single" w:color="000000" w:sz="4"/>
                  </w:tcBorders>
                </w:tcPr>
                <w:p/>
              </w:tc>
              <w:tc>
                <w:tcPr>
                  <w:tcW w:type="dxa" w:w="389"/>
                  <w:vMerge/>
                  <w:tcBorders>
                    <w:top w:val="none" w:color="000000" w:sz="4"/>
                    <w:left w:val="single" w:color="000000" w:sz="4"/>
                    <w:bottom w:val="single" w:color="000000" w:sz="4"/>
                    <w:right w:val="single" w:color="000000" w:sz="4"/>
                  </w:tcBorders>
                </w:tcPr>
                <w:p/>
              </w:tc>
              <w:tc>
                <w:tcPr>
                  <w:tcW w:type="dxa" w:w="4930"/>
                  <w:tcBorders>
                    <w:top w:val="none" w:color="000000" w:sz="4"/>
                    <w:left w:val="single" w:color="000000" w:sz="4"/>
                    <w:bottom w:val="single" w:color="000000" w:sz="4"/>
                    <w:right w:val="single" w:color="000000" w:sz="4"/>
                  </w:tcBorders>
                  <w:shd w:fill="FFFFFF"/>
                  <w:vAlign w:val="top"/>
                </w:tcPr>
                <w:p>
                  <w:pPr>
                    <w:jc w:val="left"/>
                  </w:pPr>
                  <w:r>
                    <w:rPr>
                      <w:b/>
                      <w:sz w:val="24"/>
                    </w:rPr>
                    <w:t>二、输出成果：</w:t>
                  </w:r>
                </w:p>
                <w:p>
                  <w:pPr>
                    <w:jc w:val="both"/>
                  </w:pPr>
                  <w:r>
                    <w:rPr>
                      <w:sz w:val="24"/>
                    </w:rPr>
                    <w:t>《专业群培养目标》</w:t>
                  </w:r>
                </w:p>
                <w:p>
                  <w:pPr>
                    <w:jc w:val="both"/>
                  </w:pPr>
                  <w:r>
                    <w:rPr>
                      <w:sz w:val="24"/>
                    </w:rPr>
                    <w:t>《专业群培养目标》</w:t>
                  </w:r>
                </w:p>
                <w:p>
                  <w:pPr>
                    <w:jc w:val="both"/>
                  </w:pPr>
                  <w:r>
                    <w:rPr>
                      <w:sz w:val="24"/>
                    </w:rPr>
                    <w:t>《专业群课程结构表》</w:t>
                  </w:r>
                </w:p>
                <w:p>
                  <w:pPr>
                    <w:jc w:val="both"/>
                  </w:pPr>
                  <w:r>
                    <w:rPr>
                      <w:sz w:val="24"/>
                    </w:rPr>
                    <w:t>《专业群课程与能力对接表》</w:t>
                  </w:r>
                </w:p>
                <w:p>
                  <w:pPr>
                    <w:jc w:val="both"/>
                  </w:pPr>
                  <w:r>
                    <w:rPr>
                      <w:sz w:val="24"/>
                    </w:rPr>
                    <w:t>《专业群课程体系及要求报告》</w:t>
                  </w:r>
                </w:p>
                <w:p>
                  <w:pPr>
                    <w:jc w:val="left"/>
                  </w:pPr>
                  <w:r>
                    <w:rPr>
                      <w:sz w:val="24"/>
                    </w:rPr>
                    <w:t>其他：会议照片、录音、签到表等过程性材料</w:t>
                  </w:r>
                </w:p>
              </w:tc>
            </w:tr>
          </w:tbl>
          <w:p>
            <w:pPr>
              <w:jc w:val="left"/>
            </w:pPr>
            <w:r>
              <w:rPr>
                <w:sz w:val="24"/>
              </w:rPr>
              <w:t>（七）岗位标准开发</w:t>
            </w:r>
          </w:p>
          <w:tbl>
            <w:tblPr>
              <w:tblBorders>
                <w:top w:val="none" w:color="000000" w:sz="4"/>
                <w:left w:val="none" w:color="000000" w:sz="4"/>
                <w:bottom w:val="none" w:color="000000" w:sz="4"/>
                <w:right w:val="none" w:color="000000" w:sz="4"/>
                <w:insideH w:val="none"/>
                <w:insideV w:val="none"/>
              </w:tblBorders>
            </w:tblPr>
            <w:tblGrid>
              <w:gridCol w:w="672"/>
              <w:gridCol w:w="4925"/>
            </w:tblGrid>
            <w:tr>
              <w:tc>
                <w:tcPr>
                  <w:tcW w:type="dxa" w:w="672"/>
                  <w:tcBorders>
                    <w:top w:val="single" w:color="000000" w:sz="4"/>
                    <w:left w:val="single" w:color="000000" w:sz="4"/>
                    <w:bottom w:val="single" w:color="000000" w:sz="4"/>
                    <w:right w:val="single" w:color="000000" w:sz="4"/>
                  </w:tcBorders>
                  <w:vAlign w:val="top"/>
                </w:tcPr>
                <w:p>
                  <w:pPr>
                    <w:jc w:val="center"/>
                  </w:pPr>
                  <w:r>
                    <w:rPr>
                      <w:b/>
                      <w:sz w:val="24"/>
                    </w:rPr>
                    <w:t>服务项目</w:t>
                  </w:r>
                </w:p>
              </w:tc>
              <w:tc>
                <w:tcPr>
                  <w:tcW w:type="dxa" w:w="4925"/>
                  <w:tcBorders>
                    <w:top w:val="single" w:color="000000" w:sz="4"/>
                    <w:left w:val="none" w:color="000000" w:sz="4"/>
                    <w:bottom w:val="single" w:color="000000" w:sz="4"/>
                    <w:right w:val="single" w:color="000000" w:sz="4"/>
                  </w:tcBorders>
                  <w:vAlign w:val="top"/>
                </w:tcPr>
                <w:p>
                  <w:pPr>
                    <w:jc w:val="center"/>
                  </w:pPr>
                  <w:r>
                    <w:rPr>
                      <w:b/>
                      <w:sz w:val="24"/>
                    </w:rPr>
                    <w:t>服务项目要求</w:t>
                  </w:r>
                </w:p>
              </w:tc>
            </w:tr>
            <w:tr>
              <w:tc>
                <w:tcPr>
                  <w:tcW w:type="dxa" w:w="672"/>
                  <w:vMerge w:val="restart"/>
                  <w:tcBorders>
                    <w:top w:val="none" w:color="000000" w:sz="4"/>
                    <w:left w:val="single" w:color="000000" w:sz="4"/>
                    <w:bottom w:val="single" w:color="000000" w:sz="4"/>
                    <w:right w:val="single" w:color="000000" w:sz="4"/>
                  </w:tcBorders>
                  <w:vAlign w:val="top"/>
                </w:tcPr>
                <w:p>
                  <w:pPr>
                    <w:jc w:val="center"/>
                  </w:pPr>
                  <w:r>
                    <w:rPr>
                      <w:b/>
                      <w:sz w:val="24"/>
                    </w:rPr>
                    <w:t>岗位标准开发</w:t>
                  </w:r>
                </w:p>
              </w:tc>
              <w:tc>
                <w:tcPr>
                  <w:tcW w:type="dxa" w:w="4925"/>
                  <w:tcBorders>
                    <w:top w:val="none" w:color="000000" w:sz="4"/>
                    <w:left w:val="none" w:color="000000" w:sz="4"/>
                    <w:bottom w:val="single" w:color="000000" w:sz="4"/>
                    <w:right w:val="single" w:color="000000" w:sz="4"/>
                  </w:tcBorders>
                  <w:vAlign w:val="top"/>
                </w:tcPr>
                <w:p>
                  <w:pPr>
                    <w:jc w:val="left"/>
                  </w:pPr>
                  <w:r>
                    <w:rPr>
                      <w:b/>
                      <w:sz w:val="24"/>
                    </w:rPr>
                    <w:t>一、服务内容与要求：</w:t>
                  </w:r>
                </w:p>
                <w:p>
                  <w:pPr>
                    <w:jc w:val="left"/>
                  </w:pPr>
                  <w:r>
                    <w:rPr>
                      <w:sz w:val="24"/>
                    </w:rPr>
                    <w:t>结合岗位职业能力分析会议，与企业实践专家共同研讨、确定职业岗位初级、中级、高级对应的工作领域、工作任务和职业技能要求，并进行规范编码，形成岗位技能等级要求描述。</w:t>
                  </w:r>
                </w:p>
                <w:p>
                  <w:pPr>
                    <w:jc w:val="left"/>
                  </w:pPr>
                  <w:r>
                    <w:rPr>
                      <w:sz w:val="24"/>
                    </w:rPr>
                    <w:t>以《中华人民共和国职业分类大典（</w:t>
                  </w:r>
                  <w:r>
                    <w:rPr>
                      <w:sz w:val="24"/>
                    </w:rPr>
                    <w:t>2015年版）》为依据，按照按照GB/T 1.1-2020《标准化工作导则 第1部分：标准化文件的结构 和起草规则》的规定，以“职业活动为导向、职业技能为核心”为指导思想，对职业岗位从业人员的职业活动内容进行规范细致描述，对初级、中级、高级这三个等级从业者的职业技能水平进行明确规定，编制岗位标准初稿。</w:t>
                  </w:r>
                </w:p>
                <w:p>
                  <w:pPr>
                    <w:jc w:val="left"/>
                  </w:pPr>
                  <w:r>
                    <w:rPr>
                      <w:sz w:val="24"/>
                    </w:rPr>
                    <w:t>岗位标准，主要包括如下内容：范围、规范性引用文件、岗位定义、术语与定义、职业素养要求、职业技能要求（含职业技能等级划分；初级、中级、高级的职业技能等级要求描述）、标准用词说明、参考文献等。</w:t>
                  </w:r>
                </w:p>
                <w:p>
                  <w:pPr>
                    <w:jc w:val="left"/>
                  </w:pPr>
                  <w:r>
                    <w:rPr>
                      <w:sz w:val="24"/>
                    </w:rPr>
                    <w:t>岗位标准的质量要求可以概括为三个方面：</w:t>
                  </w:r>
                </w:p>
                <w:p>
                  <w:pPr>
                    <w:jc w:val="left"/>
                  </w:pPr>
                  <w:r>
                    <w:rPr>
                      <w:sz w:val="24"/>
                    </w:rPr>
                    <w:t>一是准确。准确指的是要对岗位标准所涵盖的能力进行边界清晰、层次清楚的描述，这是能力标准最基本的要求。</w:t>
                  </w:r>
                </w:p>
                <w:p>
                  <w:pPr>
                    <w:jc w:val="left"/>
                  </w:pPr>
                  <w:r>
                    <w:rPr>
                      <w:sz w:val="24"/>
                    </w:rPr>
                    <w:t>二是全面。全面指的是岗位标准要涵盖其所对应的核心职能，这是体现岗位标准含金量的关键。</w:t>
                  </w:r>
                </w:p>
                <w:p>
                  <w:pPr>
                    <w:jc w:val="left"/>
                  </w:pPr>
                  <w:r>
                    <w:rPr>
                      <w:sz w:val="24"/>
                    </w:rPr>
                    <w:t>三是可评价。可评价指的是纳入能力标准范畴的内容是可以清晰描述的，采用成果导向动词（见下表），这是标准可以推广应用的基础。能力标准描述还应考虑学分学时以及教育与培训之间的联系，清晰指导课程的建设和专业人才培养方案的改造。</w:t>
                  </w:r>
                </w:p>
              </w:tc>
            </w:tr>
            <w:tr>
              <w:tc>
                <w:tcPr>
                  <w:tcW w:type="dxa" w:w="672"/>
                  <w:vMerge/>
                  <w:tcBorders>
                    <w:top w:val="none" w:color="000000" w:sz="4"/>
                    <w:left w:val="single" w:color="000000" w:sz="4"/>
                    <w:bottom w:val="single" w:color="000000" w:sz="4"/>
                    <w:right w:val="single" w:color="000000" w:sz="4"/>
                  </w:tcBorders>
                </w:tcPr>
                <w:p/>
              </w:tc>
              <w:tc>
                <w:tcPr>
                  <w:tcW w:type="dxa" w:w="4925"/>
                  <w:tcBorders>
                    <w:top w:val="none" w:color="000000" w:sz="4"/>
                    <w:left w:val="none" w:color="000000" w:sz="4"/>
                    <w:bottom w:val="single" w:color="000000" w:sz="4"/>
                    <w:right w:val="single" w:color="000000" w:sz="4"/>
                  </w:tcBorders>
                  <w:vAlign w:val="top"/>
                </w:tcPr>
                <w:p>
                  <w:pPr>
                    <w:jc w:val="left"/>
                  </w:pPr>
                  <w:r>
                    <w:rPr>
                      <w:b/>
                      <w:sz w:val="24"/>
                    </w:rPr>
                    <w:t>二、输出成果：</w:t>
                  </w:r>
                </w:p>
                <w:p>
                  <w:pPr>
                    <w:jc w:val="left"/>
                  </w:pPr>
                  <w:r>
                    <w:rPr>
                      <w:sz w:val="24"/>
                    </w:rPr>
                    <w:t>《岗位标准体例框架与要求表》</w:t>
                  </w:r>
                </w:p>
                <w:p>
                  <w:pPr>
                    <w:jc w:val="left"/>
                  </w:pPr>
                  <w:r>
                    <w:rPr>
                      <w:sz w:val="24"/>
                    </w:rPr>
                    <w:t>《岗位标准》</w:t>
                  </w:r>
                </w:p>
              </w:tc>
            </w:tr>
          </w:tbl>
          <w:p>
            <w:pPr>
              <w:jc w:val="left"/>
            </w:pPr>
            <w:r>
              <w:rPr>
                <w:sz w:val="24"/>
              </w:rPr>
              <w:t>（八）课程标准开发</w:t>
            </w:r>
          </w:p>
          <w:tbl>
            <w:tblPr>
              <w:tblBorders>
                <w:top w:val="none" w:color="000000" w:sz="4"/>
                <w:left w:val="none" w:color="000000" w:sz="4"/>
                <w:bottom w:val="none" w:color="000000" w:sz="4"/>
                <w:right w:val="none" w:color="000000" w:sz="4"/>
                <w:insideH w:val="none"/>
                <w:insideV w:val="none"/>
              </w:tblBorders>
            </w:tblPr>
            <w:tblGrid>
              <w:gridCol w:w="715"/>
              <w:gridCol w:w="4881"/>
            </w:tblGrid>
            <w:tr>
              <w:tc>
                <w:tcPr>
                  <w:tcW w:type="dxa" w:w="715"/>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881"/>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715"/>
                  <w:vMerge w:val="restart"/>
                  <w:tcBorders>
                    <w:top w:val="none" w:color="000000" w:sz="4"/>
                    <w:left w:val="single" w:color="000000" w:sz="4"/>
                    <w:bottom w:val="single" w:color="000000" w:sz="4"/>
                    <w:right w:val="single" w:color="000000" w:sz="4"/>
                  </w:tcBorders>
                  <w:shd w:fill="FFFFFF"/>
                  <w:vAlign w:val="top"/>
                </w:tcPr>
                <w:p>
                  <w:pPr>
                    <w:jc w:val="center"/>
                  </w:pPr>
                  <w:r>
                    <w:rPr>
                      <w:b/>
                      <w:sz w:val="24"/>
                    </w:rPr>
                    <w:t>课程标准开发</w:t>
                  </w:r>
                </w:p>
              </w:tc>
              <w:tc>
                <w:tcPr>
                  <w:tcW w:type="dxa" w:w="4881"/>
                  <w:tcBorders>
                    <w:top w:val="non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项目组在校企专家协作下，以</w:t>
                  </w:r>
                  <w:r>
                    <w:rPr>
                      <w:sz w:val="24"/>
                    </w:rPr>
                    <w:t>“学生为中心、以就业或升学”为导向，结合前期得到的该门课程的《课程与能力对接表》，按照岗位能力职业培养为主线，选择具有代表性的典型工作任务进行系统化的加工，构建起具有培养学生职业能力、知识点和职业素养的学习情境。</w:t>
                  </w:r>
                </w:p>
                <w:p>
                  <w:pPr>
                    <w:jc w:val="both"/>
                  </w:pPr>
                  <w:r>
                    <w:rPr>
                      <w:sz w:val="24"/>
                    </w:rPr>
                    <w:t>同时，学习情境遵循人才职业成长的规律进行排列，具有合理的梯度结构，学习难度由易到难，职业能力要求从低到高；贯彻以学生为主体的教学理念，采用行动导向教学，使学生在完成工作任务的过程中使教学目标得以实现，做到</w:t>
                  </w:r>
                  <w:r>
                    <w:rPr>
                      <w:sz w:val="24"/>
                    </w:rPr>
                    <w:t>“教、学、做” 一体化，最终实现“做中学”和“学中做”。</w:t>
                  </w:r>
                </w:p>
                <w:p>
                  <w:pPr>
                    <w:jc w:val="both"/>
                  </w:pPr>
                  <w:r>
                    <w:rPr>
                      <w:sz w:val="24"/>
                    </w:rPr>
                    <w:t>（1）</w:t>
                  </w:r>
                  <w:r>
                    <w:rPr>
                      <w:sz w:val="24"/>
                    </w:rPr>
                    <w:t>根据学校要求，撰写相应课程标准；</w:t>
                  </w:r>
                </w:p>
                <w:p>
                  <w:pPr>
                    <w:jc w:val="both"/>
                  </w:pPr>
                  <w:r>
                    <w:rPr>
                      <w:sz w:val="24"/>
                    </w:rPr>
                    <w:t>（2）</w:t>
                  </w:r>
                  <w:r>
                    <w:rPr>
                      <w:sz w:val="24"/>
                    </w:rPr>
                    <w:t>协助学校对制药技术应用专业群各专业已有课程标准格式按广东省《课程标准》格式进行调整。</w:t>
                  </w:r>
                </w:p>
                <w:p>
                  <w:pPr>
                    <w:jc w:val="both"/>
                  </w:pPr>
                  <w:r>
                    <w:rPr>
                      <w:sz w:val="24"/>
                    </w:rPr>
                    <w:t>课程标准的框架：</w:t>
                  </w:r>
                </w:p>
                <w:p>
                  <w:pPr>
                    <w:jc w:val="both"/>
                  </w:pPr>
                  <w:r>
                    <w:rPr>
                      <w:sz w:val="24"/>
                    </w:rPr>
                    <w:t>一、课程名称</w:t>
                  </w:r>
                </w:p>
                <w:p>
                  <w:pPr>
                    <w:jc w:val="both"/>
                  </w:pPr>
                  <w:r>
                    <w:rPr>
                      <w:sz w:val="24"/>
                    </w:rPr>
                    <w:t>二、适用专业及面向岗位</w:t>
                  </w:r>
                </w:p>
                <w:p>
                  <w:pPr>
                    <w:jc w:val="both"/>
                  </w:pPr>
                  <w:r>
                    <w:rPr>
                      <w:sz w:val="24"/>
                    </w:rPr>
                    <w:t>三、课程性质</w:t>
                  </w:r>
                </w:p>
                <w:p>
                  <w:pPr>
                    <w:jc w:val="both"/>
                  </w:pPr>
                  <w:r>
                    <w:rPr>
                      <w:sz w:val="24"/>
                    </w:rPr>
                    <w:t>四、课程设计</w:t>
                  </w:r>
                </w:p>
                <w:p>
                  <w:pPr>
                    <w:jc w:val="both"/>
                  </w:pPr>
                  <w:r>
                    <w:rPr>
                      <w:sz w:val="24"/>
                    </w:rPr>
                    <w:t>（一）设计思路</w:t>
                  </w:r>
                </w:p>
                <w:p>
                  <w:pPr>
                    <w:jc w:val="both"/>
                  </w:pPr>
                  <w:r>
                    <w:rPr>
                      <w:sz w:val="24"/>
                    </w:rPr>
                    <w:t>（二）内容组织</w:t>
                  </w:r>
                </w:p>
                <w:p>
                  <w:pPr>
                    <w:jc w:val="both"/>
                  </w:pPr>
                  <w:r>
                    <w:rPr>
                      <w:sz w:val="24"/>
                    </w:rPr>
                    <w:t>五、课程教学目标</w:t>
                  </w:r>
                </w:p>
                <w:p>
                  <w:pPr>
                    <w:jc w:val="both"/>
                  </w:pPr>
                  <w:r>
                    <w:rPr>
                      <w:sz w:val="24"/>
                    </w:rPr>
                    <w:t>（一）知识目标</w:t>
                  </w:r>
                </w:p>
                <w:p>
                  <w:pPr>
                    <w:jc w:val="both"/>
                  </w:pPr>
                  <w:r>
                    <w:rPr>
                      <w:sz w:val="24"/>
                    </w:rPr>
                    <w:t>（二）能力目标</w:t>
                  </w:r>
                </w:p>
                <w:p>
                  <w:pPr>
                    <w:jc w:val="both"/>
                  </w:pPr>
                  <w:r>
                    <w:rPr>
                      <w:sz w:val="24"/>
                    </w:rPr>
                    <w:t>（三）素质目标</w:t>
                  </w:r>
                </w:p>
                <w:p>
                  <w:pPr>
                    <w:jc w:val="both"/>
                  </w:pPr>
                  <w:r>
                    <w:rPr>
                      <w:sz w:val="24"/>
                    </w:rPr>
                    <w:t>六、参考学时与学分</w:t>
                  </w:r>
                </w:p>
                <w:p>
                  <w:pPr>
                    <w:jc w:val="both"/>
                  </w:pPr>
                  <w:r>
                    <w:rPr>
                      <w:sz w:val="24"/>
                    </w:rPr>
                    <w:t>七、课程结构（包括：学习任务、对接典型工作任务及职业能力要求、技能与知识要求、教学活动设计、学时）</w:t>
                  </w:r>
                </w:p>
                <w:p>
                  <w:pPr>
                    <w:jc w:val="both"/>
                  </w:pPr>
                  <w:r>
                    <w:rPr>
                      <w:sz w:val="24"/>
                    </w:rPr>
                    <w:t>八、资源开发与利用</w:t>
                  </w:r>
                </w:p>
                <w:p>
                  <w:pPr>
                    <w:jc w:val="both"/>
                  </w:pPr>
                  <w:r>
                    <w:rPr>
                      <w:sz w:val="24"/>
                    </w:rPr>
                    <w:t>（一）教材编写与使用</w:t>
                  </w:r>
                </w:p>
                <w:p>
                  <w:pPr>
                    <w:jc w:val="both"/>
                  </w:pPr>
                  <w:r>
                    <w:rPr>
                      <w:sz w:val="24"/>
                    </w:rPr>
                    <w:t>（二）数字化资源开发与利用</w:t>
                  </w:r>
                </w:p>
                <w:p>
                  <w:pPr>
                    <w:jc w:val="both"/>
                  </w:pPr>
                  <w:r>
                    <w:rPr>
                      <w:sz w:val="24"/>
                    </w:rPr>
                    <w:t>（三）企业岗位培养资源的开发与利用</w:t>
                  </w:r>
                </w:p>
                <w:p>
                  <w:pPr>
                    <w:jc w:val="both"/>
                  </w:pPr>
                  <w:r>
                    <w:rPr>
                      <w:sz w:val="24"/>
                    </w:rPr>
                    <w:t>九、教学建议</w:t>
                  </w:r>
                </w:p>
                <w:p>
                  <w:pPr>
                    <w:jc w:val="both"/>
                  </w:pPr>
                  <w:r>
                    <w:rPr>
                      <w:sz w:val="24"/>
                    </w:rPr>
                    <w:t>十、课程实施条件</w:t>
                  </w:r>
                </w:p>
                <w:p>
                  <w:pPr>
                    <w:jc w:val="both"/>
                  </w:pPr>
                  <w:r>
                    <w:rPr>
                      <w:sz w:val="24"/>
                    </w:rPr>
                    <w:t>（一）师资要求</w:t>
                  </w:r>
                </w:p>
                <w:p>
                  <w:pPr>
                    <w:jc w:val="both"/>
                  </w:pPr>
                  <w:r>
                    <w:rPr>
                      <w:sz w:val="24"/>
                    </w:rPr>
                    <w:t>（二）教学场所要求</w:t>
                  </w:r>
                </w:p>
                <w:p>
                  <w:pPr>
                    <w:jc w:val="both"/>
                  </w:pPr>
                  <w:r>
                    <w:rPr>
                      <w:sz w:val="24"/>
                    </w:rPr>
                    <w:t>十一、教学评价</w:t>
                  </w:r>
                </w:p>
                <w:p>
                  <w:pPr>
                    <w:ind w:firstLine="480"/>
                    <w:jc w:val="both"/>
                  </w:pPr>
                  <w:r>
                    <w:rPr>
                      <w:sz w:val="24"/>
                    </w:rPr>
                    <w:t>十二、课程内容结构图</w:t>
                  </w:r>
                </w:p>
              </w:tc>
            </w:tr>
            <w:tr>
              <w:tc>
                <w:tcPr>
                  <w:tcW w:type="dxa" w:w="715"/>
                  <w:vMerge/>
                  <w:tcBorders>
                    <w:top w:val="none" w:color="000000" w:sz="4"/>
                    <w:left w:val="single" w:color="000000" w:sz="4"/>
                    <w:bottom w:val="single" w:color="000000" w:sz="4"/>
                    <w:right w:val="single" w:color="000000" w:sz="4"/>
                  </w:tcBorders>
                </w:tcPr>
                <w:p/>
              </w:tc>
              <w:tc>
                <w:tcPr>
                  <w:tcW w:type="dxa" w:w="4881"/>
                  <w:tcBorders>
                    <w:top w:val="none" w:color="000000" w:sz="4"/>
                    <w:left w:val="single" w:color="000000" w:sz="4"/>
                    <w:bottom w:val="single" w:color="000000" w:sz="4"/>
                    <w:right w:val="single" w:color="000000" w:sz="4"/>
                  </w:tcBorders>
                  <w:shd w:fill="FFFFFF"/>
                  <w:vAlign w:val="top"/>
                </w:tcPr>
                <w:p>
                  <w:pPr>
                    <w:jc w:val="both"/>
                  </w:pPr>
                  <w:r>
                    <w:rPr>
                      <w:sz w:val="24"/>
                    </w:rPr>
                    <w:t>二、输出成果：</w:t>
                  </w:r>
                </w:p>
                <w:p>
                  <w:pPr>
                    <w:jc w:val="both"/>
                  </w:pPr>
                  <w:r>
                    <w:rPr>
                      <w:sz w:val="24"/>
                    </w:rPr>
                    <w:t>《课程标准体例框架与要求表》</w:t>
                  </w:r>
                </w:p>
                <w:p>
                  <w:pPr>
                    <w:jc w:val="both"/>
                  </w:pPr>
                  <w:r>
                    <w:rPr>
                      <w:sz w:val="24"/>
                    </w:rPr>
                    <w:t>《课程标准》</w:t>
                  </w:r>
                </w:p>
              </w:tc>
            </w:tr>
          </w:tbl>
          <w:p>
            <w:pPr>
              <w:jc w:val="left"/>
            </w:pPr>
            <w:r>
              <w:rPr>
                <w:sz w:val="24"/>
              </w:rPr>
              <w:t>（九）人才培养方案编制</w:t>
            </w:r>
          </w:p>
          <w:tbl>
            <w:tblPr>
              <w:tblBorders>
                <w:top w:val="none" w:color="000000" w:sz="4"/>
                <w:left w:val="none" w:color="000000" w:sz="4"/>
                <w:bottom w:val="none" w:color="000000" w:sz="4"/>
                <w:right w:val="none" w:color="000000" w:sz="4"/>
                <w:insideH w:val="none"/>
                <w:insideV w:val="none"/>
              </w:tblBorders>
            </w:tblPr>
            <w:tblGrid>
              <w:gridCol w:w="746"/>
              <w:gridCol w:w="4851"/>
            </w:tblGrid>
            <w:tr>
              <w:tc>
                <w:tcPr>
                  <w:tcW w:type="dxa" w:w="746"/>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851"/>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746"/>
                  <w:vMerge w:val="restart"/>
                  <w:tcBorders>
                    <w:top w:val="none" w:color="000000" w:sz="4"/>
                    <w:left w:val="single" w:color="000000" w:sz="4"/>
                    <w:bottom w:val="single" w:color="000000" w:sz="4"/>
                    <w:right w:val="single" w:color="000000" w:sz="4"/>
                  </w:tcBorders>
                  <w:shd w:fill="FFFFFF"/>
                  <w:vAlign w:val="top"/>
                </w:tcPr>
                <w:p>
                  <w:pPr>
                    <w:jc w:val="both"/>
                  </w:pPr>
                  <w:r>
                    <w:rPr>
                      <w:b/>
                      <w:sz w:val="24"/>
                    </w:rPr>
                    <w:t>专业群、群内各专业人才培养方案编制</w:t>
                  </w:r>
                </w:p>
              </w:tc>
              <w:tc>
                <w:tcPr>
                  <w:tcW w:type="dxa" w:w="4851"/>
                  <w:tcBorders>
                    <w:top w:val="none" w:color="000000" w:sz="4"/>
                    <w:left w:val="single" w:color="000000" w:sz="4"/>
                    <w:bottom w:val="single" w:color="000000" w:sz="4"/>
                    <w:right w:val="single" w:color="000000" w:sz="4"/>
                  </w:tcBorders>
                  <w:shd w:fill="FFFFFF"/>
                  <w:vAlign w:val="top"/>
                </w:tcPr>
                <w:p>
                  <w:pPr>
                    <w:jc w:val="left"/>
                  </w:pPr>
                  <w:r>
                    <w:rPr>
                      <w:b/>
                      <w:sz w:val="24"/>
                    </w:rPr>
                    <w:t>一、服务内容与要求：</w:t>
                  </w:r>
                </w:p>
                <w:p>
                  <w:pPr>
                    <w:jc w:val="both"/>
                  </w:pPr>
                  <w:r>
                    <w:rPr>
                      <w:sz w:val="24"/>
                    </w:rPr>
                    <w:t>基于前期输出的阶段性成果，遵循职业工作过程、学生认知规律、教学组织形式等，撰写专业群人才培养方案、群内各专业人才培养方案。</w:t>
                  </w:r>
                </w:p>
                <w:p>
                  <w:pPr>
                    <w:jc w:val="both"/>
                  </w:pPr>
                  <w:r>
                    <w:rPr>
                      <w:b/>
                      <w:sz w:val="24"/>
                    </w:rPr>
                    <w:t>专业群人才培养方案基本大纲：</w:t>
                  </w:r>
                </w:p>
                <w:tbl>
                  <w:tblPr>
                    <w:tblBorders>
                      <w:top w:val="none" w:color="000000" w:sz="4"/>
                      <w:left w:val="none" w:color="000000" w:sz="4"/>
                      <w:bottom w:val="none" w:color="000000" w:sz="4"/>
                      <w:right w:val="none" w:color="000000" w:sz="4"/>
                      <w:insideH w:val="none"/>
                      <w:insideV w:val="none"/>
                    </w:tblBorders>
                  </w:tblPr>
                  <w:tblGrid>
                    <w:gridCol w:w="4635"/>
                  </w:tblGrid>
                  <w:tr>
                    <w:tc>
                      <w:tcPr>
                        <w:tcW w:type="dxa" w:w="4635"/>
                        <w:tcBorders>
                          <w:top w:val="single" w:color="000000" w:sz="4"/>
                          <w:left w:val="single" w:color="000000" w:sz="4"/>
                          <w:bottom w:val="single" w:color="000000" w:sz="4"/>
                          <w:right w:val="single" w:color="000000" w:sz="4"/>
                        </w:tcBorders>
                        <w:vAlign w:val="top"/>
                      </w:tcPr>
                      <w:p>
                        <w:pPr>
                          <w:jc w:val="both"/>
                        </w:pPr>
                        <w:r>
                          <w:rPr>
                            <w:sz w:val="24"/>
                          </w:rPr>
                          <w:t>一、专业群名称及所含专业</w:t>
                        </w:r>
                      </w:p>
                      <w:p>
                        <w:pPr>
                          <w:jc w:val="both"/>
                        </w:pPr>
                        <w:r>
                          <w:rPr>
                            <w:sz w:val="24"/>
                          </w:rPr>
                          <w:t>二、入学要求</w:t>
                        </w:r>
                      </w:p>
                      <w:p>
                        <w:pPr>
                          <w:jc w:val="both"/>
                        </w:pPr>
                        <w:r>
                          <w:rPr>
                            <w:sz w:val="24"/>
                          </w:rPr>
                          <w:t>三、修业年限</w:t>
                        </w:r>
                      </w:p>
                      <w:p>
                        <w:pPr>
                          <w:jc w:val="both"/>
                        </w:pPr>
                        <w:r>
                          <w:rPr>
                            <w:sz w:val="24"/>
                          </w:rPr>
                          <w:t>四、组逻辑</w:t>
                        </w:r>
                      </w:p>
                      <w:p>
                        <w:pPr>
                          <w:jc w:val="both"/>
                        </w:pPr>
                        <w:r>
                          <w:rPr>
                            <w:sz w:val="24"/>
                          </w:rPr>
                          <w:t>五、职业面向</w:t>
                        </w:r>
                      </w:p>
                      <w:p>
                        <w:pPr>
                          <w:jc w:val="both"/>
                        </w:pPr>
                        <w:r>
                          <w:rPr>
                            <w:sz w:val="24"/>
                          </w:rPr>
                          <w:t>六、培养目标与培养规格</w:t>
                        </w:r>
                      </w:p>
                      <w:p>
                        <w:pPr>
                          <w:ind w:firstLine="240"/>
                          <w:jc w:val="both"/>
                        </w:pPr>
                        <w:r>
                          <w:rPr>
                            <w:sz w:val="24"/>
                          </w:rPr>
                          <w:t>（一）培养目标</w:t>
                        </w:r>
                      </w:p>
                      <w:p>
                        <w:pPr>
                          <w:ind w:firstLine="240"/>
                          <w:jc w:val="both"/>
                        </w:pPr>
                        <w:r>
                          <w:rPr>
                            <w:sz w:val="24"/>
                          </w:rPr>
                          <w:t>（二）培养规格</w:t>
                        </w:r>
                      </w:p>
                      <w:p>
                        <w:pPr>
                          <w:jc w:val="both"/>
                        </w:pPr>
                        <w:r>
                          <w:rPr>
                            <w:sz w:val="24"/>
                          </w:rPr>
                          <w:t>七、课程体系设置及要求</w:t>
                        </w:r>
                      </w:p>
                      <w:p>
                        <w:pPr>
                          <w:ind w:firstLine="240"/>
                          <w:jc w:val="both"/>
                        </w:pPr>
                        <w:r>
                          <w:rPr>
                            <w:sz w:val="24"/>
                          </w:rPr>
                          <w:t>（一）典型工作任务与职业能力分析</w:t>
                        </w:r>
                      </w:p>
                      <w:p>
                        <w:pPr>
                          <w:ind w:firstLine="240"/>
                          <w:jc w:val="both"/>
                        </w:pPr>
                        <w:r>
                          <w:rPr>
                            <w:sz w:val="24"/>
                          </w:rPr>
                          <w:t>（二）专业群课程体系架构</w:t>
                        </w:r>
                      </w:p>
                      <w:p>
                        <w:pPr>
                          <w:ind w:firstLine="240"/>
                          <w:jc w:val="both"/>
                        </w:pPr>
                        <w:r>
                          <w:rPr>
                            <w:sz w:val="24"/>
                          </w:rPr>
                          <w:t>（三）专业群课程内容及要求</w:t>
                        </w:r>
                      </w:p>
                      <w:p>
                        <w:pPr>
                          <w:ind w:firstLine="480"/>
                          <w:jc w:val="both"/>
                        </w:pPr>
                        <w:r>
                          <w:rPr>
                            <w:sz w:val="24"/>
                          </w:rPr>
                          <w:t>1.专业群平台课程</w:t>
                        </w:r>
                      </w:p>
                      <w:p>
                        <w:pPr>
                          <w:ind w:firstLine="480"/>
                          <w:jc w:val="both"/>
                        </w:pPr>
                        <w:r>
                          <w:rPr>
                            <w:sz w:val="24"/>
                          </w:rPr>
                          <w:t>2.专业群各专业核心课程</w:t>
                        </w:r>
                      </w:p>
                      <w:p>
                        <w:pPr>
                          <w:ind w:firstLine="480"/>
                          <w:jc w:val="both"/>
                        </w:pPr>
                        <w:r>
                          <w:rPr>
                            <w:sz w:val="24"/>
                          </w:rPr>
                          <w:t>3.专业群拓展课程</w:t>
                        </w:r>
                      </w:p>
                      <w:p>
                        <w:pPr>
                          <w:jc w:val="both"/>
                        </w:pPr>
                        <w:r>
                          <w:rPr>
                            <w:sz w:val="24"/>
                          </w:rPr>
                          <w:t>八、教学进程总体安排</w:t>
                        </w:r>
                      </w:p>
                      <w:p>
                        <w:pPr>
                          <w:jc w:val="both"/>
                        </w:pPr>
                        <w:r>
                          <w:rPr>
                            <w:sz w:val="24"/>
                          </w:rPr>
                          <w:t>九、实施保障</w:t>
                        </w:r>
                      </w:p>
                      <w:p>
                        <w:pPr>
                          <w:ind w:firstLine="480"/>
                          <w:jc w:val="both"/>
                        </w:pPr>
                        <w:r>
                          <w:rPr>
                            <w:sz w:val="24"/>
                          </w:rPr>
                          <w:t>（一）师资队伍</w:t>
                        </w:r>
                      </w:p>
                      <w:p>
                        <w:pPr>
                          <w:ind w:firstLine="480"/>
                          <w:jc w:val="both"/>
                        </w:pPr>
                        <w:r>
                          <w:rPr>
                            <w:sz w:val="24"/>
                          </w:rPr>
                          <w:t>（二）教学设施</w:t>
                        </w:r>
                      </w:p>
                      <w:p>
                        <w:pPr>
                          <w:ind w:firstLine="480"/>
                          <w:jc w:val="both"/>
                        </w:pPr>
                        <w:r>
                          <w:rPr>
                            <w:sz w:val="24"/>
                          </w:rPr>
                          <w:t>（三）教学资源</w:t>
                        </w:r>
                      </w:p>
                      <w:p>
                        <w:pPr>
                          <w:ind w:firstLine="480"/>
                          <w:jc w:val="both"/>
                        </w:pPr>
                        <w:r>
                          <w:rPr>
                            <w:sz w:val="24"/>
                          </w:rPr>
                          <w:t>（四）教学方法</w:t>
                        </w:r>
                      </w:p>
                      <w:p>
                        <w:pPr>
                          <w:ind w:firstLine="480"/>
                          <w:jc w:val="both"/>
                        </w:pPr>
                        <w:r>
                          <w:rPr>
                            <w:sz w:val="24"/>
                          </w:rPr>
                          <w:t>（五）学习评价</w:t>
                        </w:r>
                      </w:p>
                      <w:p>
                        <w:pPr>
                          <w:ind w:firstLine="480"/>
                          <w:jc w:val="both"/>
                        </w:pPr>
                        <w:r>
                          <w:rPr>
                            <w:sz w:val="24"/>
                          </w:rPr>
                          <w:t>（六）质量管理</w:t>
                        </w:r>
                      </w:p>
                      <w:p>
                        <w:pPr>
                          <w:jc w:val="both"/>
                        </w:pPr>
                        <w:r>
                          <w:rPr>
                            <w:sz w:val="24"/>
                          </w:rPr>
                          <w:t>十、毕业要求</w:t>
                        </w:r>
                      </w:p>
                      <w:p>
                        <w:pPr>
                          <w:jc w:val="both"/>
                        </w:pPr>
                        <w:r>
                          <w:rPr>
                            <w:sz w:val="24"/>
                          </w:rPr>
                          <w:t>十一、附录</w:t>
                        </w:r>
                      </w:p>
                    </w:tc>
                  </w:tr>
                </w:tbl>
                <w:p>
                  <w:pPr>
                    <w:jc w:val="both"/>
                  </w:pPr>
                  <w:r>
                    <w:rPr>
                      <w:b/>
                      <w:sz w:val="24"/>
                    </w:rPr>
                    <w:t>专业人才培养方案基本大纲：</w:t>
                  </w:r>
                </w:p>
                <w:tbl>
                  <w:tblPr>
                    <w:tblBorders>
                      <w:top w:val="none" w:color="000000" w:sz="4"/>
                      <w:left w:val="none" w:color="000000" w:sz="4"/>
                      <w:bottom w:val="none" w:color="000000" w:sz="4"/>
                      <w:right w:val="none" w:color="000000" w:sz="4"/>
                      <w:insideH w:val="none"/>
                      <w:insideV w:val="none"/>
                    </w:tblBorders>
                  </w:tblPr>
                  <w:tblGrid>
                    <w:gridCol w:w="4623"/>
                  </w:tblGrid>
                  <w:tr>
                    <w:tc>
                      <w:tcPr>
                        <w:tcW w:type="dxa" w:w="4623"/>
                        <w:tcBorders>
                          <w:top w:val="single" w:color="000000" w:sz="4"/>
                          <w:left w:val="single" w:color="000000" w:sz="4"/>
                          <w:bottom w:val="single" w:color="000000" w:sz="4"/>
                          <w:right w:val="single" w:color="000000" w:sz="4"/>
                        </w:tcBorders>
                        <w:vAlign w:val="top"/>
                      </w:tcPr>
                      <w:p>
                        <w:pPr>
                          <w:jc w:val="both"/>
                        </w:pPr>
                        <w:r>
                          <w:rPr>
                            <w:sz w:val="24"/>
                          </w:rPr>
                          <w:t>一、专业名称及代码</w:t>
                        </w:r>
                      </w:p>
                      <w:p>
                        <w:pPr>
                          <w:jc w:val="both"/>
                        </w:pPr>
                        <w:r>
                          <w:rPr>
                            <w:sz w:val="24"/>
                          </w:rPr>
                          <w:t>二、入学要求</w:t>
                        </w:r>
                      </w:p>
                      <w:p>
                        <w:pPr>
                          <w:jc w:val="both"/>
                        </w:pPr>
                        <w:r>
                          <w:rPr>
                            <w:sz w:val="24"/>
                          </w:rPr>
                          <w:t>三、修业年限</w:t>
                        </w:r>
                      </w:p>
                      <w:p>
                        <w:pPr>
                          <w:jc w:val="both"/>
                        </w:pPr>
                        <w:r>
                          <w:rPr>
                            <w:sz w:val="24"/>
                          </w:rPr>
                          <w:t>四、职业面向</w:t>
                        </w:r>
                      </w:p>
                      <w:p>
                        <w:pPr>
                          <w:jc w:val="both"/>
                        </w:pPr>
                        <w:r>
                          <w:rPr>
                            <w:sz w:val="24"/>
                          </w:rPr>
                          <w:t>五、培养目标与培养规格</w:t>
                        </w:r>
                      </w:p>
                      <w:p>
                        <w:pPr>
                          <w:ind w:firstLine="240"/>
                          <w:jc w:val="both"/>
                        </w:pPr>
                        <w:r>
                          <w:rPr>
                            <w:sz w:val="24"/>
                          </w:rPr>
                          <w:t>（一）培养目标</w:t>
                        </w:r>
                      </w:p>
                      <w:p>
                        <w:pPr>
                          <w:ind w:firstLine="240"/>
                          <w:jc w:val="both"/>
                        </w:pPr>
                        <w:r>
                          <w:rPr>
                            <w:sz w:val="24"/>
                          </w:rPr>
                          <w:t>（二）培养规格</w:t>
                        </w:r>
                      </w:p>
                      <w:p>
                        <w:pPr>
                          <w:jc w:val="both"/>
                        </w:pPr>
                        <w:r>
                          <w:rPr>
                            <w:sz w:val="24"/>
                          </w:rPr>
                          <w:t>六、专业组</w:t>
                        </w:r>
                      </w:p>
                      <w:p>
                        <w:pPr>
                          <w:jc w:val="both"/>
                        </w:pPr>
                        <w:r>
                          <w:rPr>
                            <w:sz w:val="24"/>
                          </w:rPr>
                          <w:t>七、课程设置及要求</w:t>
                        </w:r>
                      </w:p>
                      <w:p>
                        <w:pPr>
                          <w:ind w:firstLine="240"/>
                          <w:jc w:val="both"/>
                        </w:pPr>
                        <w:r>
                          <w:rPr>
                            <w:sz w:val="24"/>
                          </w:rPr>
                          <w:t>（一）课程体系架构</w:t>
                        </w:r>
                      </w:p>
                      <w:p>
                        <w:pPr>
                          <w:ind w:firstLine="240"/>
                          <w:jc w:val="both"/>
                        </w:pPr>
                        <w:r>
                          <w:rPr>
                            <w:sz w:val="24"/>
                          </w:rPr>
                          <w:t>（二）课程与能力映射矩阵</w:t>
                        </w:r>
                      </w:p>
                      <w:p>
                        <w:pPr>
                          <w:ind w:firstLine="240"/>
                          <w:jc w:val="both"/>
                        </w:pPr>
                        <w:r>
                          <w:rPr>
                            <w:sz w:val="24"/>
                          </w:rPr>
                          <w:t>（三）专业课程内容及要求</w:t>
                        </w:r>
                      </w:p>
                      <w:p>
                        <w:pPr>
                          <w:ind w:firstLine="480"/>
                          <w:jc w:val="both"/>
                        </w:pPr>
                        <w:r>
                          <w:rPr>
                            <w:sz w:val="24"/>
                          </w:rPr>
                          <w:t>1.专业平台课</w:t>
                        </w:r>
                      </w:p>
                      <w:p>
                        <w:pPr>
                          <w:ind w:firstLine="480"/>
                          <w:jc w:val="both"/>
                        </w:pPr>
                        <w:r>
                          <w:rPr>
                            <w:sz w:val="24"/>
                          </w:rPr>
                          <w:t>2.专业核心课</w:t>
                        </w:r>
                      </w:p>
                      <w:p>
                        <w:pPr>
                          <w:ind w:firstLine="480"/>
                          <w:jc w:val="both"/>
                        </w:pPr>
                        <w:r>
                          <w:rPr>
                            <w:sz w:val="24"/>
                          </w:rPr>
                          <w:t>3.专业拓展课程</w:t>
                        </w:r>
                      </w:p>
                      <w:p>
                        <w:pPr>
                          <w:jc w:val="both"/>
                        </w:pPr>
                        <w:r>
                          <w:rPr>
                            <w:sz w:val="24"/>
                          </w:rPr>
                          <w:t>八、教学进程总体安排九、实施保障</w:t>
                        </w:r>
                      </w:p>
                      <w:p>
                        <w:pPr>
                          <w:jc w:val="both"/>
                        </w:pPr>
                        <w:r>
                          <w:rPr>
                            <w:sz w:val="24"/>
                          </w:rPr>
                          <w:t>（一）师资队伍</w:t>
                        </w:r>
                      </w:p>
                      <w:p>
                        <w:pPr>
                          <w:jc w:val="both"/>
                        </w:pPr>
                        <w:r>
                          <w:rPr>
                            <w:sz w:val="24"/>
                          </w:rPr>
                          <w:t>（二）教学设施</w:t>
                        </w:r>
                      </w:p>
                      <w:p>
                        <w:pPr>
                          <w:jc w:val="both"/>
                        </w:pPr>
                        <w:r>
                          <w:rPr>
                            <w:sz w:val="24"/>
                          </w:rPr>
                          <w:t>（三）教学资源</w:t>
                        </w:r>
                      </w:p>
                      <w:p>
                        <w:pPr>
                          <w:jc w:val="both"/>
                        </w:pPr>
                        <w:r>
                          <w:rPr>
                            <w:sz w:val="24"/>
                          </w:rPr>
                          <w:t>（四）教学方法</w:t>
                        </w:r>
                      </w:p>
                      <w:p>
                        <w:pPr>
                          <w:jc w:val="both"/>
                        </w:pPr>
                        <w:r>
                          <w:rPr>
                            <w:sz w:val="24"/>
                          </w:rPr>
                          <w:t>（五）学习评价</w:t>
                        </w:r>
                      </w:p>
                      <w:p>
                        <w:pPr>
                          <w:jc w:val="both"/>
                        </w:pPr>
                        <w:r>
                          <w:rPr>
                            <w:sz w:val="24"/>
                          </w:rPr>
                          <w:t>（六）质量管理</w:t>
                        </w:r>
                      </w:p>
                      <w:p>
                        <w:pPr>
                          <w:jc w:val="both"/>
                        </w:pPr>
                        <w:r>
                          <w:rPr>
                            <w:sz w:val="24"/>
                          </w:rPr>
                          <w:t>十、毕业要求</w:t>
                        </w:r>
                      </w:p>
                      <w:p>
                        <w:pPr>
                          <w:jc w:val="both"/>
                        </w:pPr>
                        <w:r>
                          <w:rPr>
                            <w:sz w:val="24"/>
                          </w:rPr>
                          <w:t>十一、附录</w:t>
                        </w:r>
                      </w:p>
                    </w:tc>
                  </w:tr>
                </w:tbl>
                <w:p>
                  <w:pPr>
                    <w:jc w:val="both"/>
                  </w:pPr>
                  <w:r>
                    <w:rPr>
                      <w:sz w:val="24"/>
                    </w:rPr>
                    <w:t>人才培养方案的编制，遵循以下原则：</w:t>
                  </w:r>
                </w:p>
                <w:p>
                  <w:pPr>
                    <w:jc w:val="both"/>
                  </w:pPr>
                  <w:r>
                    <w:rPr>
                      <w:sz w:val="24"/>
                    </w:rPr>
                    <w:t>（1）</w:t>
                  </w:r>
                  <w:r>
                    <w:rPr>
                      <w:sz w:val="24"/>
                    </w:rPr>
                    <w:t>符合文件要求：《关于职业院校专业人才培养方案制订与实施工作的指导意见》（教职成〔</w:t>
                  </w:r>
                  <w:r>
                    <w:rPr>
                      <w:sz w:val="24"/>
                    </w:rPr>
                    <w:t>2019〕13号）、《关于组织做好职业院校专业人才培养方案制订与实施工作的通知》（教职成司函〔2019〕61号）等文件对职业院校人才培养方案制定的最新标准和要求；</w:t>
                  </w:r>
                </w:p>
                <w:p>
                  <w:pPr>
                    <w:jc w:val="both"/>
                  </w:pPr>
                  <w:r>
                    <w:rPr>
                      <w:sz w:val="24"/>
                    </w:rPr>
                    <w:t>（2）</w:t>
                  </w:r>
                  <w:r>
                    <w:rPr>
                      <w:sz w:val="24"/>
                    </w:rPr>
                    <w:t>面向产业集：面向战略性支柱产业集和战略性新兴产业集的特定服务领域，体现产业岗位细分新特点。</w:t>
                  </w:r>
                </w:p>
                <w:p>
                  <w:pPr>
                    <w:jc w:val="both"/>
                  </w:pPr>
                  <w:r>
                    <w:rPr>
                      <w:sz w:val="24"/>
                    </w:rPr>
                    <w:t>（3）</w:t>
                  </w:r>
                  <w:r>
                    <w:rPr>
                      <w:sz w:val="24"/>
                    </w:rPr>
                    <w:t>具有前瞻性：主动适应经济社会发展需要，将新技术、新工艺、新规范等产业先进元素纳入教学标准和教学内容。</w:t>
                  </w:r>
                </w:p>
                <w:p>
                  <w:pPr>
                    <w:jc w:val="both"/>
                  </w:pPr>
                  <w:r>
                    <w:rPr>
                      <w:sz w:val="24"/>
                    </w:rPr>
                    <w:t>（4）</w:t>
                  </w:r>
                  <w:r>
                    <w:rPr>
                      <w:sz w:val="24"/>
                    </w:rPr>
                    <w:t>其他：以国家专业教学标准为基本遵循；融入</w:t>
                  </w:r>
                  <w:r>
                    <w:rPr>
                      <w:sz w:val="24"/>
                    </w:rPr>
                    <w:t>1+X证书要求；实现课程思政与思政课程同向同行；符合学校”十四五“规划；深化“三全育人”改革，等等。</w:t>
                  </w:r>
                </w:p>
              </w:tc>
            </w:tr>
            <w:tr>
              <w:tc>
                <w:tcPr>
                  <w:tcW w:type="dxa" w:w="746"/>
                  <w:vMerge/>
                  <w:tcBorders>
                    <w:top w:val="none" w:color="000000" w:sz="4"/>
                    <w:left w:val="single" w:color="000000" w:sz="4"/>
                    <w:bottom w:val="single" w:color="000000" w:sz="4"/>
                    <w:right w:val="single" w:color="000000" w:sz="4"/>
                  </w:tcBorders>
                </w:tcPr>
                <w:p/>
              </w:tc>
              <w:tc>
                <w:tcPr>
                  <w:tcW w:type="dxa" w:w="4851"/>
                  <w:tcBorders>
                    <w:top w:val="none" w:color="000000" w:sz="4"/>
                    <w:left w:val="single" w:color="000000" w:sz="4"/>
                    <w:bottom w:val="single" w:color="000000" w:sz="4"/>
                    <w:right w:val="single" w:color="000000" w:sz="4"/>
                  </w:tcBorders>
                  <w:shd w:fill="FFFFFF"/>
                  <w:vAlign w:val="top"/>
                </w:tcPr>
                <w:p>
                  <w:pPr>
                    <w:jc w:val="left"/>
                  </w:pPr>
                  <w:r>
                    <w:rPr>
                      <w:sz w:val="24"/>
                    </w:rPr>
                    <w:t>二、输出成果：</w:t>
                  </w:r>
                </w:p>
                <w:p>
                  <w:pPr>
                    <w:jc w:val="both"/>
                  </w:pPr>
                  <w:r>
                    <w:rPr>
                      <w:sz w:val="24"/>
                    </w:rPr>
                    <w:t>《专业群人才培养方案》</w:t>
                  </w:r>
                </w:p>
                <w:p>
                  <w:pPr>
                    <w:jc w:val="both"/>
                  </w:pPr>
                  <w:r>
                    <w:rPr>
                      <w:sz w:val="24"/>
                    </w:rPr>
                    <w:t>《各专业人才培养方案》</w:t>
                  </w:r>
                </w:p>
              </w:tc>
            </w:tr>
          </w:tbl>
          <w:p>
            <w:pPr>
              <w:jc w:val="left"/>
            </w:pPr>
            <w:r>
              <w:rPr>
                <w:sz w:val="24"/>
              </w:rPr>
              <w:t>（十）人才培养方案论证</w:t>
            </w:r>
          </w:p>
          <w:tbl>
            <w:tblPr>
              <w:tblBorders>
                <w:top w:val="none" w:color="000000" w:sz="4"/>
                <w:left w:val="none" w:color="000000" w:sz="4"/>
                <w:bottom w:val="none" w:color="000000" w:sz="4"/>
                <w:right w:val="none" w:color="000000" w:sz="4"/>
                <w:insideH w:val="none"/>
                <w:insideV w:val="none"/>
              </w:tblBorders>
            </w:tblPr>
            <w:tblGrid>
              <w:gridCol w:w="300"/>
              <w:gridCol w:w="386"/>
              <w:gridCol w:w="4911"/>
            </w:tblGrid>
            <w:tr>
              <w:tc>
                <w:tcPr>
                  <w:tcW w:type="dxa" w:w="686"/>
                  <w:gridSpan w:val="2"/>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911"/>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300"/>
                  <w:vMerge w:val="restart"/>
                  <w:tcBorders>
                    <w:top w:val="none" w:color="000000" w:sz="4"/>
                    <w:left w:val="single" w:color="000000" w:sz="4"/>
                    <w:bottom w:val="single" w:color="000000" w:sz="4"/>
                    <w:right w:val="single" w:color="000000" w:sz="4"/>
                  </w:tcBorders>
                  <w:shd w:fill="FFFFFF"/>
                  <w:vAlign w:val="top"/>
                </w:tcPr>
                <w:p>
                  <w:pPr>
                    <w:jc w:val="center"/>
                  </w:pPr>
                  <w:r>
                    <w:rPr>
                      <w:b/>
                      <w:sz w:val="24"/>
                    </w:rPr>
                    <w:t>评审专家论证会议</w:t>
                  </w:r>
                </w:p>
              </w:tc>
              <w:tc>
                <w:tcPr>
                  <w:tcW w:type="dxa" w:w="386"/>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会议准备</w:t>
                  </w:r>
                </w:p>
              </w:tc>
              <w:tc>
                <w:tcPr>
                  <w:tcW w:type="dxa" w:w="4911"/>
                  <w:tcBorders>
                    <w:top w:val="single" w:color="000000" w:sz="4"/>
                    <w:left w:val="single" w:color="000000" w:sz="4"/>
                    <w:bottom w:val="single" w:color="000000" w:sz="4"/>
                    <w:right w:val="single" w:color="000000" w:sz="4"/>
                  </w:tcBorders>
                  <w:shd w:fill="FFFFFF"/>
                  <w:vAlign w:val="top"/>
                </w:tcPr>
                <w:p>
                  <w:pPr>
                    <w:jc w:val="left"/>
                  </w:pPr>
                  <w:r>
                    <w:rPr>
                      <w:b/>
                      <w:sz w:val="24"/>
                    </w:rPr>
                    <w:t>一、服务内容与要求：</w:t>
                  </w:r>
                </w:p>
                <w:p>
                  <w:pPr>
                    <w:jc w:val="both"/>
                  </w:pPr>
                  <w:r>
                    <w:rPr>
                      <w:b/>
                      <w:sz w:val="24"/>
                    </w:rPr>
                    <w:t>1.会议资料制作：</w:t>
                  </w:r>
                </w:p>
                <w:p>
                  <w:pPr>
                    <w:jc w:val="both"/>
                  </w:pPr>
                  <w:r>
                    <w:rPr>
                      <w:sz w:val="24"/>
                    </w:rPr>
                    <w:t>需准备的会议资料，包括但不限于：会议议程、专家邀请函、专家简历表（需回收）、参会人员名单等。</w:t>
                  </w:r>
                </w:p>
                <w:p>
                  <w:pPr>
                    <w:jc w:val="both"/>
                  </w:pPr>
                  <w:r>
                    <w:rPr>
                      <w:b/>
                      <w:sz w:val="24"/>
                    </w:rPr>
                    <w:t>2.论证专家筛选、邀请：</w:t>
                  </w:r>
                </w:p>
                <w:p>
                  <w:pPr>
                    <w:jc w:val="both"/>
                  </w:pPr>
                  <w:r>
                    <w:rPr>
                      <w:sz w:val="24"/>
                    </w:rPr>
                    <w:t>筛选、邀请</w:t>
                  </w:r>
                  <w:r>
                    <w:rPr>
                      <w:sz w:val="24"/>
                    </w:rPr>
                    <w:t>5位相同专业群的教育专家、具有教育或培训经验的企业专家，参与专家必须是来自不同院校或企业，并达到以下要求：（1）熟悉同类专业群课程设置及教学情况；（2）熟悉专业群人才培养方案的格式要求及逻辑思路；（3）在教学或培训领域有独到的见解或丰富的经验；（4）具有较好的语言表达能力，灵活应变能力强。</w:t>
                  </w:r>
                </w:p>
                <w:p>
                  <w:pPr>
                    <w:jc w:val="both"/>
                  </w:pPr>
                  <w:r>
                    <w:rPr>
                      <w:b/>
                      <w:sz w:val="24"/>
                    </w:rPr>
                    <w:t>3.专家组组长遴选：</w:t>
                  </w:r>
                </w:p>
                <w:p>
                  <w:pPr>
                    <w:jc w:val="both"/>
                  </w:pPr>
                  <w:r>
                    <w:rPr>
                      <w:sz w:val="24"/>
                    </w:rPr>
                    <w:t>基于专业群人才培养方案论证会议流程及目标，从专家组里面遴选</w:t>
                  </w:r>
                  <w:r>
                    <w:rPr>
                      <w:sz w:val="24"/>
                    </w:rPr>
                    <w:t>1位专家担任组长，要求：（1）具备专业群人才培养方案论证会议的主持经验；（2）熟悉专业群人才培养方案制定的方法、思路；（3）具有较高的现代职业教育理论水平；（4）能够调控会议进度、引导氛围，善于梳理总结。</w:t>
                  </w:r>
                </w:p>
                <w:p>
                  <w:pPr>
                    <w:jc w:val="both"/>
                  </w:pPr>
                  <w:r>
                    <w:rPr>
                      <w:b/>
                      <w:sz w:val="24"/>
                    </w:rPr>
                    <w:t>4.会议现场准备：</w:t>
                  </w:r>
                </w:p>
                <w:p>
                  <w:pPr>
                    <w:jc w:val="both"/>
                  </w:pPr>
                  <w:r>
                    <w:rPr>
                      <w:sz w:val="24"/>
                    </w:rPr>
                    <w:t>采取</w:t>
                  </w:r>
                  <w:r>
                    <w:rPr>
                      <w:sz w:val="24"/>
                    </w:rPr>
                    <w:t>U字型的会场布置形式，准备会场必须配备的电脑、投影、话筒等设备,便于现场及时记录和修改。</w:t>
                  </w:r>
                </w:p>
                <w:p>
                  <w:pPr>
                    <w:jc w:val="both"/>
                  </w:pPr>
                  <w:r>
                    <w:rPr>
                      <w:b/>
                      <w:sz w:val="24"/>
                    </w:rPr>
                    <w:t>5.会前通知提醒：</w:t>
                  </w:r>
                </w:p>
                <w:p>
                  <w:pPr>
                    <w:jc w:val="left"/>
                  </w:pPr>
                  <w:r>
                    <w:rPr>
                      <w:sz w:val="24"/>
                    </w:rPr>
                    <w:t>会前</w:t>
                  </w:r>
                  <w:r>
                    <w:rPr>
                      <w:sz w:val="24"/>
                    </w:rPr>
                    <w:t>1天建立专家群，明确会议内容与流程、时间、地点、到场联系人、停车位置、注意事项等，确保会议按时召开并达成预期成果。</w:t>
                  </w:r>
                </w:p>
              </w:tc>
            </w:tr>
            <w:tr>
              <w:tc>
                <w:tcPr>
                  <w:tcW w:type="dxa" w:w="300"/>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4911"/>
                  <w:tcBorders>
                    <w:top w:val="none" w:color="000000" w:sz="4"/>
                    <w:left w:val="single" w:color="000000" w:sz="4"/>
                    <w:bottom w:val="single" w:color="000000" w:sz="4"/>
                    <w:right w:val="single" w:color="000000" w:sz="4"/>
                  </w:tcBorders>
                  <w:shd w:fill="FFFFFF"/>
                  <w:vAlign w:val="top"/>
                </w:tcPr>
                <w:p>
                  <w:pPr>
                    <w:jc w:val="left"/>
                  </w:pPr>
                  <w:r>
                    <w:rPr>
                      <w:b/>
                      <w:sz w:val="24"/>
                    </w:rPr>
                    <w:t>二、输出成果：</w:t>
                  </w:r>
                </w:p>
                <w:p>
                  <w:pPr>
                    <w:jc w:val="left"/>
                  </w:pPr>
                  <w:r>
                    <w:rPr>
                      <w:sz w:val="24"/>
                    </w:rPr>
                    <w:t>《专业群人才培养方案专家论证会议工作方案》</w:t>
                  </w:r>
                </w:p>
                <w:p>
                  <w:pPr>
                    <w:jc w:val="both"/>
                  </w:pPr>
                  <w:r>
                    <w:rPr>
                      <w:sz w:val="24"/>
                    </w:rPr>
                    <w:t>《专业群人才培养方案专家论证会议资料》</w:t>
                  </w:r>
                </w:p>
                <w:p>
                  <w:pPr>
                    <w:jc w:val="left"/>
                  </w:pPr>
                  <w:r>
                    <w:rPr>
                      <w:sz w:val="24"/>
                    </w:rPr>
                    <w:t>《论证专家简历表》</w:t>
                  </w:r>
                </w:p>
              </w:tc>
            </w:tr>
            <w:tr>
              <w:tc>
                <w:tcPr>
                  <w:tcW w:type="dxa" w:w="300"/>
                  <w:vMerge/>
                  <w:tcBorders>
                    <w:top w:val="none" w:color="000000" w:sz="4"/>
                    <w:left w:val="single" w:color="000000" w:sz="4"/>
                    <w:bottom w:val="single" w:color="000000" w:sz="4"/>
                    <w:right w:val="single" w:color="000000" w:sz="4"/>
                  </w:tcBorders>
                </w:tcPr>
                <w:p/>
              </w:tc>
              <w:tc>
                <w:tcPr>
                  <w:tcW w:type="dxa" w:w="386"/>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会议召开</w:t>
                  </w:r>
                </w:p>
              </w:tc>
              <w:tc>
                <w:tcPr>
                  <w:tcW w:type="dxa" w:w="4911"/>
                  <w:tcBorders>
                    <w:top w:val="none" w:color="000000" w:sz="4"/>
                    <w:left w:val="single" w:color="000000" w:sz="4"/>
                    <w:bottom w:val="single" w:color="000000" w:sz="4"/>
                    <w:right w:val="single" w:color="000000" w:sz="4"/>
                  </w:tcBorders>
                  <w:shd w:fill="FFFFFF"/>
                  <w:vAlign w:val="top"/>
                </w:tcPr>
                <w:p>
                  <w:pPr>
                    <w:jc w:val="left"/>
                  </w:pPr>
                  <w:r>
                    <w:rPr>
                      <w:b/>
                      <w:sz w:val="24"/>
                    </w:rPr>
                    <w:t>一、服务内容与要求：</w:t>
                  </w:r>
                </w:p>
                <w:p>
                  <w:pPr>
                    <w:jc w:val="both"/>
                  </w:pPr>
                  <w:r>
                    <w:rPr>
                      <w:sz w:val="24"/>
                    </w:rPr>
                    <w:t>举行现场专业群人才培养方案论证会议：</w:t>
                  </w:r>
                </w:p>
                <w:p>
                  <w:pPr>
                    <w:jc w:val="left"/>
                  </w:pPr>
                  <w:r>
                    <w:rPr>
                      <w:b/>
                      <w:sz w:val="24"/>
                    </w:rPr>
                    <w:t>1.参会人员：</w:t>
                  </w:r>
                </w:p>
                <w:p>
                  <w:pPr>
                    <w:jc w:val="left"/>
                  </w:pPr>
                  <w:r>
                    <w:rPr>
                      <w:sz w:val="24"/>
                    </w:rPr>
                    <w:t>教育专家；企业专家；学校专业群负责人，群内各专业负责人、骨干教师、教研工程师等。</w:t>
                  </w:r>
                </w:p>
                <w:p>
                  <w:pPr>
                    <w:jc w:val="left"/>
                  </w:pPr>
                  <w:r>
                    <w:rPr>
                      <w:b/>
                      <w:sz w:val="24"/>
                    </w:rPr>
                    <w:t>2.辅助材料：</w:t>
                  </w:r>
                </w:p>
                <w:p>
                  <w:pPr>
                    <w:jc w:val="left"/>
                  </w:pPr>
                  <w:r>
                    <w:rPr>
                      <w:sz w:val="24"/>
                    </w:rPr>
                    <w:t>会议议程、参会人员介绍表、岗位群职业能力分析表、专业群人才培养方案、各专业人才培养方案等。</w:t>
                  </w:r>
                </w:p>
                <w:p>
                  <w:pPr>
                    <w:jc w:val="left"/>
                  </w:pPr>
                  <w:r>
                    <w:rPr>
                      <w:b/>
                      <w:sz w:val="24"/>
                    </w:rPr>
                    <w:t>3.会议目标：</w:t>
                  </w:r>
                </w:p>
                <w:p>
                  <w:pPr>
                    <w:jc w:val="left"/>
                  </w:pPr>
                  <w:r>
                    <w:rPr>
                      <w:sz w:val="24"/>
                    </w:rPr>
                    <w:t>（1）</w:t>
                  </w:r>
                  <w:r>
                    <w:rPr>
                      <w:sz w:val="24"/>
                    </w:rPr>
                    <w:t>专业群负责人汇报专业（群）建设情况；</w:t>
                  </w:r>
                </w:p>
                <w:p>
                  <w:pPr>
                    <w:jc w:val="left"/>
                  </w:pPr>
                  <w:r>
                    <w:rPr>
                      <w:sz w:val="24"/>
                    </w:rPr>
                    <w:t>（2）</w:t>
                  </w:r>
                  <w:r>
                    <w:rPr>
                      <w:sz w:val="24"/>
                    </w:rPr>
                    <w:t>论证、讨论专业群人才培养方案、各专业人才培养方案；</w:t>
                  </w:r>
                </w:p>
                <w:p>
                  <w:pPr>
                    <w:jc w:val="left"/>
                  </w:pPr>
                  <w:r>
                    <w:rPr>
                      <w:sz w:val="24"/>
                    </w:rPr>
                    <w:t>（3）</w:t>
                  </w:r>
                  <w:r>
                    <w:rPr>
                      <w:sz w:val="24"/>
                    </w:rPr>
                    <w:t>研讨、梳理专家评审意见，并打印、签字；</w:t>
                  </w:r>
                </w:p>
                <w:p>
                  <w:pPr>
                    <w:jc w:val="left"/>
                  </w:pPr>
                  <w:r>
                    <w:rPr>
                      <w:sz w:val="24"/>
                    </w:rPr>
                    <w:t>成立专业群建设指导委员会，并举行颁发聘书仪式。</w:t>
                  </w:r>
                </w:p>
              </w:tc>
            </w:tr>
            <w:tr>
              <w:tc>
                <w:tcPr>
                  <w:tcW w:type="dxa" w:w="300"/>
                  <w:vMerge/>
                  <w:tcBorders>
                    <w:top w:val="none" w:color="000000" w:sz="4"/>
                    <w:left w:val="single" w:color="000000" w:sz="4"/>
                    <w:bottom w:val="single" w:color="000000" w:sz="4"/>
                    <w:right w:val="single" w:color="000000" w:sz="4"/>
                  </w:tcBorders>
                </w:tcPr>
                <w:p/>
              </w:tc>
              <w:tc>
                <w:tcPr>
                  <w:tcW w:type="dxa" w:w="386"/>
                  <w:vMerge/>
                  <w:tcBorders>
                    <w:top w:val="none" w:color="000000" w:sz="4"/>
                    <w:left w:val="single" w:color="000000" w:sz="4"/>
                    <w:bottom w:val="single" w:color="000000" w:sz="4"/>
                    <w:right w:val="single" w:color="000000" w:sz="4"/>
                  </w:tcBorders>
                </w:tcPr>
                <w:p/>
              </w:tc>
              <w:tc>
                <w:tcPr>
                  <w:tcW w:type="dxa" w:w="4911"/>
                  <w:tcBorders>
                    <w:top w:val="none" w:color="000000" w:sz="4"/>
                    <w:left w:val="single" w:color="000000" w:sz="4"/>
                    <w:bottom w:val="single" w:color="000000" w:sz="4"/>
                    <w:right w:val="single" w:color="000000" w:sz="4"/>
                  </w:tcBorders>
                  <w:shd w:fill="FFFFFF"/>
                  <w:vAlign w:val="top"/>
                </w:tcPr>
                <w:p>
                  <w:pPr>
                    <w:jc w:val="left"/>
                  </w:pPr>
                  <w:r>
                    <w:rPr>
                      <w:b/>
                      <w:sz w:val="24"/>
                    </w:rPr>
                    <w:t>二、输出成果：</w:t>
                  </w:r>
                </w:p>
                <w:p>
                  <w:pPr>
                    <w:jc w:val="left"/>
                  </w:pPr>
                  <w:r>
                    <w:rPr>
                      <w:sz w:val="24"/>
                    </w:rPr>
                    <w:t>《专业群人才培养方案修订意见记录》</w:t>
                  </w:r>
                </w:p>
                <w:p>
                  <w:pPr>
                    <w:jc w:val="both"/>
                  </w:pPr>
                  <w:r>
                    <w:rPr>
                      <w:sz w:val="24"/>
                    </w:rPr>
                    <w:t>《专业群人才培养方案专家评审意见表》</w:t>
                  </w:r>
                </w:p>
                <w:p>
                  <w:pPr>
                    <w:jc w:val="both"/>
                  </w:pPr>
                  <w:r>
                    <w:rPr>
                      <w:sz w:val="24"/>
                    </w:rPr>
                    <w:t>《专业群人才培养方案论证报告》</w:t>
                  </w:r>
                </w:p>
                <w:p>
                  <w:pPr>
                    <w:jc w:val="left"/>
                  </w:pPr>
                  <w:r>
                    <w:rPr>
                      <w:sz w:val="24"/>
                    </w:rPr>
                    <w:t>其他：会议照片、录音、签到表等过程性材料</w:t>
                  </w:r>
                </w:p>
              </w:tc>
            </w:tr>
          </w:tbl>
          <w:p>
            <w:pPr>
              <w:jc w:val="left"/>
            </w:pPr>
            <w:r>
              <w:rPr>
                <w:sz w:val="24"/>
              </w:rPr>
              <w:t>（十一）项目汇编</w:t>
            </w:r>
          </w:p>
          <w:tbl>
            <w:tblPr>
              <w:tblBorders>
                <w:top w:val="none" w:color="000000" w:sz="4"/>
                <w:left w:val="none" w:color="000000" w:sz="4"/>
                <w:bottom w:val="none" w:color="000000" w:sz="4"/>
                <w:right w:val="none" w:color="000000" w:sz="4"/>
                <w:insideH w:val="none"/>
                <w:insideV w:val="none"/>
              </w:tblBorders>
            </w:tblPr>
            <w:tblGrid>
              <w:gridCol w:w="640"/>
              <w:gridCol w:w="4956"/>
            </w:tblGrid>
            <w:tr>
              <w:tc>
                <w:tcPr>
                  <w:tcW w:type="dxa" w:w="640"/>
                  <w:tcBorders>
                    <w:top w:val="single" w:color="000000" w:sz="4"/>
                    <w:left w:val="single" w:color="000000" w:sz="4"/>
                    <w:bottom w:val="single" w:color="000000" w:sz="4"/>
                    <w:right w:val="single" w:color="000000" w:sz="4"/>
                  </w:tcBorders>
                  <w:vAlign w:val="top"/>
                </w:tcPr>
                <w:p>
                  <w:pPr>
                    <w:jc w:val="center"/>
                  </w:pPr>
                  <w:r>
                    <w:rPr>
                      <w:b/>
                      <w:sz w:val="24"/>
                    </w:rPr>
                    <w:t>服务项目</w:t>
                  </w:r>
                </w:p>
              </w:tc>
              <w:tc>
                <w:tcPr>
                  <w:tcW w:type="dxa" w:w="4956"/>
                  <w:tcBorders>
                    <w:top w:val="single" w:color="000000" w:sz="4"/>
                    <w:left w:val="none" w:color="000000" w:sz="4"/>
                    <w:bottom w:val="single" w:color="000000" w:sz="4"/>
                    <w:right w:val="single" w:color="000000" w:sz="4"/>
                  </w:tcBorders>
                  <w:vAlign w:val="top"/>
                </w:tcPr>
                <w:p>
                  <w:pPr>
                    <w:jc w:val="center"/>
                  </w:pPr>
                  <w:r>
                    <w:rPr>
                      <w:b/>
                      <w:sz w:val="24"/>
                    </w:rPr>
                    <w:t>服务项目要求</w:t>
                  </w:r>
                </w:p>
              </w:tc>
            </w:tr>
            <w:tr>
              <w:tc>
                <w:tcPr>
                  <w:tcW w:type="dxa" w:w="640"/>
                  <w:vMerge w:val="restart"/>
                  <w:tcBorders>
                    <w:top w:val="none" w:color="000000" w:sz="4"/>
                    <w:left w:val="single" w:color="000000" w:sz="4"/>
                    <w:bottom w:val="single" w:color="000000" w:sz="4"/>
                    <w:right w:val="single" w:color="000000" w:sz="4"/>
                  </w:tcBorders>
                  <w:vAlign w:val="top"/>
                </w:tcPr>
                <w:p>
                  <w:pPr>
                    <w:jc w:val="center"/>
                  </w:pPr>
                  <w:r>
                    <w:rPr>
                      <w:b/>
                      <w:sz w:val="24"/>
                    </w:rPr>
                    <w:t>专业群人才培养方案研制项目汇编</w:t>
                  </w:r>
                </w:p>
              </w:tc>
              <w:tc>
                <w:tcPr>
                  <w:tcW w:type="dxa" w:w="4956"/>
                  <w:tcBorders>
                    <w:top w:val="none" w:color="000000" w:sz="4"/>
                    <w:left w:val="none" w:color="000000" w:sz="4"/>
                    <w:bottom w:val="single" w:color="000000" w:sz="4"/>
                    <w:right w:val="single" w:color="000000" w:sz="4"/>
                  </w:tcBorders>
                  <w:vAlign w:val="top"/>
                </w:tcPr>
                <w:p>
                  <w:pPr>
                    <w:jc w:val="left"/>
                  </w:pPr>
                  <w:r>
                    <w:rPr>
                      <w:b/>
                      <w:sz w:val="24"/>
                    </w:rPr>
                    <w:t>一、服务内容与要求：</w:t>
                  </w:r>
                </w:p>
                <w:p>
                  <w:pPr>
                    <w:jc w:val="both"/>
                  </w:pPr>
                  <w:r>
                    <w:rPr>
                      <w:sz w:val="24"/>
                    </w:rPr>
                    <w:t>1.项目组根据专家论证意见和建议，进一步修订、完善专业群人才培养方案、各专业人才培养方案，及项目各阶段材料；</w:t>
                  </w:r>
                </w:p>
                <w:p>
                  <w:pPr>
                    <w:jc w:val="both"/>
                  </w:pPr>
                  <w:r>
                    <w:rPr>
                      <w:sz w:val="24"/>
                    </w:rPr>
                    <w:t>2.项目组针对整个专业群人才培养方案研制项目的各阶段材料进行汇编，形成专业群人才培养方案研制项目集，并装订成册、打印。项目集中包括过程集和成果集，如下：</w:t>
                  </w:r>
                </w:p>
                <w:p>
                  <w:pPr>
                    <w:jc w:val="both"/>
                  </w:pPr>
                  <w:r>
                    <w:rPr>
                      <w:sz w:val="24"/>
                    </w:rPr>
                    <w:t>过程集，包括：调查问卷、访谈照片、会议工作方案、会议照片、会议签到表等阶段过程材料的汇编。</w:t>
                  </w:r>
                </w:p>
                <w:p>
                  <w:pPr>
                    <w:jc w:val="both"/>
                  </w:pPr>
                  <w:r>
                    <w:rPr>
                      <w:sz w:val="24"/>
                    </w:rPr>
                    <w:t>成果集，包括：专业群多维调研与分析报告、职业能力分析报告、人才培养方案、课程标准等阶段成果文件的汇编。</w:t>
                  </w:r>
                </w:p>
              </w:tc>
            </w:tr>
            <w:tr>
              <w:tc>
                <w:tcPr>
                  <w:tcW w:type="dxa" w:w="640"/>
                  <w:vMerge/>
                  <w:tcBorders>
                    <w:top w:val="none" w:color="000000" w:sz="4"/>
                    <w:left w:val="single" w:color="000000" w:sz="4"/>
                    <w:bottom w:val="single" w:color="000000" w:sz="4"/>
                    <w:right w:val="single" w:color="000000" w:sz="4"/>
                  </w:tcBorders>
                </w:tcPr>
                <w:p/>
              </w:tc>
              <w:tc>
                <w:tcPr>
                  <w:tcW w:type="dxa" w:w="4956"/>
                  <w:tcBorders>
                    <w:top w:val="none" w:color="000000" w:sz="4"/>
                    <w:left w:val="none" w:color="000000" w:sz="4"/>
                    <w:bottom w:val="single" w:color="000000" w:sz="4"/>
                    <w:right w:val="single" w:color="000000" w:sz="4"/>
                  </w:tcBorders>
                  <w:vAlign w:val="top"/>
                </w:tcPr>
                <w:p>
                  <w:pPr>
                    <w:jc w:val="left"/>
                  </w:pPr>
                  <w:r>
                    <w:rPr>
                      <w:b/>
                      <w:sz w:val="24"/>
                    </w:rPr>
                    <w:t>二、输出成果：</w:t>
                  </w:r>
                </w:p>
                <w:p>
                  <w:pPr>
                    <w:jc w:val="left"/>
                  </w:pPr>
                  <w:r>
                    <w:rPr>
                      <w:sz w:val="24"/>
                    </w:rPr>
                    <w:t>《专业群人才培养方案研制项目汇编》（包括：成果集、过程集）。</w:t>
                  </w:r>
                </w:p>
              </w:tc>
            </w:tr>
          </w:tbl>
          <w:p>
            <w:pPr>
              <w:jc w:val="left"/>
            </w:pPr>
            <w:r>
              <w:rPr>
                <w:sz w:val="24"/>
              </w:rPr>
              <w:t>（十二）群教学资源库建设</w:t>
            </w:r>
          </w:p>
          <w:tbl>
            <w:tblPr>
              <w:tblBorders>
                <w:top w:val="none" w:color="000000" w:sz="4"/>
                <w:left w:val="none" w:color="000000" w:sz="4"/>
                <w:bottom w:val="none" w:color="000000" w:sz="4"/>
                <w:right w:val="none" w:color="000000" w:sz="4"/>
                <w:insideH w:val="none"/>
                <w:insideV w:val="none"/>
              </w:tblBorders>
            </w:tblPr>
            <w:tblGrid>
              <w:gridCol w:w="326"/>
              <w:gridCol w:w="383"/>
              <w:gridCol w:w="4888"/>
            </w:tblGrid>
            <w:tr>
              <w:tc>
                <w:tcPr>
                  <w:tcW w:type="dxa" w:w="709"/>
                  <w:gridSpan w:val="2"/>
                  <w:tcBorders>
                    <w:top w:val="single" w:color="000000" w:sz="4"/>
                    <w:left w:val="single" w:color="000000" w:sz="4"/>
                    <w:bottom w:val="single" w:color="000000" w:sz="4"/>
                    <w:right w:val="single" w:color="000000" w:sz="4"/>
                  </w:tcBorders>
                  <w:shd w:fill="FFFFFF"/>
                  <w:vAlign w:val="top"/>
                </w:tcPr>
                <w:p>
                  <w:pPr>
                    <w:jc w:val="center"/>
                  </w:pPr>
                  <w:r>
                    <w:rPr>
                      <w:b/>
                      <w:sz w:val="24"/>
                    </w:rPr>
                    <w:t>服务项目</w:t>
                  </w:r>
                </w:p>
              </w:tc>
              <w:tc>
                <w:tcPr>
                  <w:tcW w:type="dxa" w:w="4888"/>
                  <w:tcBorders>
                    <w:top w:val="single" w:color="000000" w:sz="4"/>
                    <w:left w:val="single" w:color="000000" w:sz="4"/>
                    <w:bottom w:val="single" w:color="000000" w:sz="4"/>
                    <w:right w:val="single" w:color="000000" w:sz="4"/>
                  </w:tcBorders>
                  <w:shd w:fill="FFFFFF"/>
                  <w:vAlign w:val="top"/>
                </w:tcPr>
                <w:p>
                  <w:pPr>
                    <w:jc w:val="center"/>
                  </w:pPr>
                  <w:r>
                    <w:rPr>
                      <w:b/>
                      <w:sz w:val="24"/>
                    </w:rPr>
                    <w:t>服务项目要求</w:t>
                  </w:r>
                </w:p>
              </w:tc>
            </w:tr>
            <w:tr>
              <w:tc>
                <w:tcPr>
                  <w:tcW w:type="dxa" w:w="326"/>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专业群教学资源库建设</w:t>
                  </w:r>
                </w:p>
              </w:tc>
              <w:tc>
                <w:tcPr>
                  <w:tcW w:type="dxa" w:w="383"/>
                  <w:vMerge w:val="restart"/>
                  <w:tcBorders>
                    <w:top w:val="none" w:color="000000" w:sz="4"/>
                    <w:left w:val="single" w:color="000000" w:sz="4"/>
                    <w:bottom w:val="single" w:color="000000" w:sz="4"/>
                    <w:right w:val="single" w:color="000000" w:sz="4"/>
                  </w:tcBorders>
                  <w:shd w:fill="FFFFFF"/>
                  <w:vAlign w:val="top"/>
                </w:tcPr>
                <w:p>
                  <w:pPr>
                    <w:jc w:val="center"/>
                  </w:pPr>
                  <w:r>
                    <w:rPr>
                      <w:b/>
                      <w:sz w:val="24"/>
                    </w:rPr>
                    <w:t>新型活页式教材开发</w:t>
                  </w:r>
                </w:p>
              </w:tc>
              <w:tc>
                <w:tcPr>
                  <w:tcW w:type="dxa" w:w="4888"/>
                  <w:tcBorders>
                    <w:top w:val="single" w:color="000000" w:sz="4"/>
                    <w:left w:val="single" w:color="000000" w:sz="4"/>
                    <w:bottom w:val="single" w:color="000000" w:sz="4"/>
                    <w:right w:val="single" w:color="000000" w:sz="4"/>
                  </w:tcBorders>
                  <w:shd w:fill="FFFFFF"/>
                  <w:vAlign w:val="top"/>
                </w:tcPr>
                <w:p>
                  <w:pPr>
                    <w:jc w:val="both"/>
                  </w:pPr>
                  <w:r>
                    <w:rPr>
                      <w:b/>
                      <w:sz w:val="24"/>
                    </w:rPr>
                    <w:t>一、服务内容与要求：</w:t>
                  </w:r>
                </w:p>
                <w:p>
                  <w:pPr>
                    <w:jc w:val="both"/>
                  </w:pPr>
                  <w:r>
                    <w:rPr>
                      <w:sz w:val="24"/>
                    </w:rPr>
                    <w:t>组织学校专业教师和</w:t>
                  </w:r>
                  <w:r>
                    <w:rPr>
                      <w:sz w:val="24"/>
                    </w:rPr>
                    <w:t>2位企业实践专家形成教材编撰小组，在教育专家指导下，以“学生为中心、学习成果为导向、促进自主学习”为设计思路，以“企业岗位（群）任职要求、职业标准、工作过程或产品”为教材主体内容，“以德树人、课程思政”有机融合，兼具“工作活页”和“教材”的双重属性的工作手册式、新型活页式教材。</w:t>
                  </w:r>
                </w:p>
                <w:p>
                  <w:pPr>
                    <w:jc w:val="both"/>
                  </w:pPr>
                  <w:r>
                    <w:rPr>
                      <w:sz w:val="24"/>
                    </w:rPr>
                    <w:t>一、教育专家专题培训</w:t>
                  </w:r>
                </w:p>
                <w:p>
                  <w:pPr>
                    <w:jc w:val="both"/>
                  </w:pPr>
                  <w:r>
                    <w:rPr>
                      <w:sz w:val="24"/>
                    </w:rPr>
                    <w:t>1.培训一</w:t>
                  </w:r>
                </w:p>
                <w:p>
                  <w:pPr>
                    <w:jc w:val="both"/>
                  </w:pPr>
                  <w:r>
                    <w:rPr>
                      <w:sz w:val="24"/>
                    </w:rPr>
                    <w:t>活页教材开发基础、开发重点、难点、开发策略、开发流程等</w:t>
                  </w:r>
                </w:p>
                <w:p>
                  <w:pPr>
                    <w:jc w:val="both"/>
                  </w:pPr>
                  <w:r>
                    <w:rPr>
                      <w:sz w:val="24"/>
                    </w:rPr>
                    <w:t>2.培训二</w:t>
                  </w:r>
                </w:p>
                <w:p>
                  <w:pPr>
                    <w:jc w:val="both"/>
                  </w:pPr>
                  <w:r>
                    <w:rPr>
                      <w:sz w:val="24"/>
                    </w:rPr>
                    <w:t>组建教材开发团、双元共同组织编写、确定体例结构、破解多重难题、活页教材案例分享等</w:t>
                  </w:r>
                </w:p>
                <w:p>
                  <w:pPr>
                    <w:jc w:val="both"/>
                  </w:pPr>
                  <w:r>
                    <w:rPr>
                      <w:sz w:val="24"/>
                    </w:rPr>
                    <w:t>二、基础材料审阅与优化</w:t>
                  </w:r>
                </w:p>
                <w:p>
                  <w:pPr>
                    <w:jc w:val="both"/>
                  </w:pPr>
                  <w:r>
                    <w:rPr>
                      <w:sz w:val="24"/>
                    </w:rPr>
                    <w:t>①确定专业课程面向的就业岗位（群）、职业发展规划，进而确定课程面向岗位与职业等级水平（界定能力边界）；</w:t>
                  </w:r>
                </w:p>
                <w:p>
                  <w:pPr>
                    <w:jc w:val="both"/>
                  </w:pPr>
                  <w:r>
                    <w:rPr>
                      <w:sz w:val="24"/>
                    </w:rPr>
                    <w:t>②组织教材编撰小组，按照教材编制标准，充分参考1+X职业技能等级证书、国家或行业职业等级标准等，优化完善岗位职业能力分析表；</w:t>
                  </w:r>
                </w:p>
                <w:p>
                  <w:pPr>
                    <w:jc w:val="both"/>
                  </w:pPr>
                  <w:r>
                    <w:rPr>
                      <w:sz w:val="24"/>
                    </w:rPr>
                    <w:t>③组织教材编撰小组，按照教材编制标准，重新优化课程标准，并组织教育专家进行评审和指导完善。</w:t>
                  </w:r>
                </w:p>
                <w:p>
                  <w:pPr>
                    <w:jc w:val="both"/>
                  </w:pPr>
                  <w:r>
                    <w:rPr>
                      <w:sz w:val="24"/>
                    </w:rPr>
                    <w:t>三、教材体例设计与审阅</w:t>
                  </w:r>
                </w:p>
                <w:p>
                  <w:pPr>
                    <w:jc w:val="both"/>
                  </w:pPr>
                  <w:r>
                    <w:rPr>
                      <w:sz w:val="24"/>
                    </w:rPr>
                    <w:t>四、学习情境设计与审阅</w:t>
                  </w:r>
                </w:p>
                <w:p>
                  <w:pPr>
                    <w:jc w:val="both"/>
                  </w:pPr>
                  <w:r>
                    <w:rPr>
                      <w:sz w:val="24"/>
                    </w:rPr>
                    <w:t>教材编撰小组结合岗位和课程实际需要，设计教材学习情境，由教育专家审核、确定。</w:t>
                  </w:r>
                </w:p>
                <w:p>
                  <w:pPr>
                    <w:jc w:val="both"/>
                  </w:pPr>
                  <w:r>
                    <w:rPr>
                      <w:sz w:val="24"/>
                    </w:rPr>
                    <w:t>五、学习任务开发与审阅</w:t>
                  </w:r>
                </w:p>
                <w:p>
                  <w:pPr>
                    <w:jc w:val="both"/>
                  </w:pPr>
                  <w:r>
                    <w:rPr>
                      <w:sz w:val="24"/>
                    </w:rPr>
                    <w:t>学习任务开发需满足以下要求：</w:t>
                  </w:r>
                  <w:r>
                    <w:rPr>
                      <w:sz w:val="24"/>
                    </w:rPr>
                    <w:t>①具备专业典型性，有教育和教学价值；②反映真实职业工作情境，有应用价值；③有清晰的任务轮廓和明确而具体的成果，可见的产品或可归纳的服务内容；④完整的工作过程，对应特定的教学内容，能促进综合职业能力（包括专业能力、社会能力和方法能力）；⑤理论和实践结合并有一定难度，应用已有知识、技能，促进学生整体化的思考和实践；⑥有独立学习的手段和媒体；⑦能对学习成果进行评价。</w:t>
                  </w:r>
                </w:p>
                <w:p>
                  <w:pPr>
                    <w:jc w:val="both"/>
                  </w:pPr>
                  <w:r>
                    <w:rPr>
                      <w:sz w:val="24"/>
                    </w:rPr>
                    <w:t>教材编撰小组结合岗位和课程实际需要，设计教材学习任务，由教育专家审核、确定。</w:t>
                  </w:r>
                </w:p>
                <w:p>
                  <w:pPr>
                    <w:jc w:val="both"/>
                  </w:pPr>
                  <w:r>
                    <w:rPr>
                      <w:sz w:val="24"/>
                    </w:rPr>
                    <w:t>六、学习任务活页方案设计与审阅</w:t>
                  </w:r>
                </w:p>
                <w:p>
                  <w:pPr>
                    <w:jc w:val="both"/>
                  </w:pPr>
                  <w:r>
                    <w:rPr>
                      <w:sz w:val="24"/>
                    </w:rPr>
                    <w:t>设计要求：</w:t>
                  </w:r>
                  <w:r>
                    <w:rPr>
                      <w:sz w:val="24"/>
                    </w:rPr>
                    <w:t>①突出重点，让学生通过完成任务的有形过程，掌握处理问题的程序和工作标准。②准确规范，要求任务名称、任务情境规范；问题的判断和分析有理论依据；完成任务有明确的方法和步骤；工作过程有明确的操作规范和要求；明确工具设备的正确使用方法。③要素齐全，每个活页内容完整，体现一项工作或处理问题的全过程。</w:t>
                  </w:r>
                </w:p>
                <w:p>
                  <w:pPr>
                    <w:jc w:val="both"/>
                  </w:pPr>
                  <w:r>
                    <w:rPr>
                      <w:sz w:val="24"/>
                    </w:rPr>
                    <w:t>教材编撰小组结合岗位和课程实际需要，设计学习任务活页方案，由教育专家审核、确定。</w:t>
                  </w:r>
                </w:p>
                <w:p>
                  <w:pPr>
                    <w:jc w:val="both"/>
                  </w:pPr>
                  <w:r>
                    <w:rPr>
                      <w:sz w:val="24"/>
                    </w:rPr>
                    <w:t>七、数字化教学资源植入</w:t>
                  </w:r>
                </w:p>
                <w:p>
                  <w:pPr>
                    <w:jc w:val="both"/>
                  </w:pPr>
                  <w:r>
                    <w:rPr>
                      <w:sz w:val="24"/>
                    </w:rPr>
                    <w:t>基于学校已有配套资源以及本项目开发的专业群教学资源库和信息化平台，生成二维码，将二维码植入立体化活页式教材。</w:t>
                  </w:r>
                </w:p>
                <w:p>
                  <w:pPr>
                    <w:jc w:val="both"/>
                  </w:pPr>
                  <w:r>
                    <w:rPr>
                      <w:sz w:val="24"/>
                    </w:rPr>
                    <w:t>八、教材体例参考样例</w:t>
                  </w:r>
                </w:p>
                <w:p>
                  <w:pPr>
                    <w:jc w:val="both"/>
                  </w:pPr>
                  <w:r>
                    <w:rPr>
                      <w:sz w:val="24"/>
                    </w:rPr>
                    <w:t>1.大文科类/公共课/基础课的教材样例</w:t>
                  </w:r>
                </w:p>
                <w:p>
                  <w:pPr>
                    <w:jc w:val="both"/>
                  </w:pPr>
                  <w:r>
                    <w:rPr>
                      <w:sz w:val="24"/>
                    </w:rPr>
                    <w:t>教材整体规划几个任务或模块，可以分为基础篇、成长篇和拓展篇。</w:t>
                  </w:r>
                </w:p>
                <w:p>
                  <w:pPr>
                    <w:jc w:val="both"/>
                  </w:pPr>
                  <w:r>
                    <w:rPr>
                      <w:sz w:val="24"/>
                    </w:rPr>
                    <w:t>①教学目标（包括：素质目标、知识目标、能力/技能目标、思政目标（爱国守法）等）；</w:t>
                  </w:r>
                </w:p>
                <w:p>
                  <w:pPr>
                    <w:jc w:val="both"/>
                  </w:pPr>
                  <w:r>
                    <w:rPr>
                      <w:sz w:val="24"/>
                    </w:rPr>
                    <w:t>②引言（模块知识能解决的问题，与其他模块的关系，即在整体知识结构中的地位和作用）。</w:t>
                  </w:r>
                </w:p>
                <w:p>
                  <w:pPr>
                    <w:jc w:val="both"/>
                  </w:pPr>
                  <w:r>
                    <w:rPr>
                      <w:sz w:val="24"/>
                    </w:rPr>
                    <w:t>③思维导图。</w:t>
                  </w:r>
                </w:p>
                <w:p>
                  <w:pPr>
                    <w:jc w:val="both"/>
                  </w:pPr>
                  <w:r>
                    <w:rPr>
                      <w:sz w:val="24"/>
                    </w:rPr>
                    <w:t>④案例导入（具体案例可引用，也可自编，案例后面提出问题）。</w:t>
                  </w:r>
                </w:p>
                <w:p>
                  <w:pPr>
                    <w:jc w:val="both"/>
                  </w:pPr>
                  <w:r>
                    <w:rPr>
                      <w:sz w:val="24"/>
                    </w:rPr>
                    <w:t>⑤知识介绍（包括传统教材知识（概念、原理、方法、工具和步骤等）+二维码微课+延伸阅读等）。</w:t>
                  </w:r>
                </w:p>
                <w:p>
                  <w:pPr>
                    <w:jc w:val="both"/>
                  </w:pPr>
                  <w:r>
                    <w:rPr>
                      <w:sz w:val="24"/>
                    </w:rPr>
                    <w:t>⑥案例启示。</w:t>
                  </w:r>
                </w:p>
                <w:p>
                  <w:pPr>
                    <w:jc w:val="both"/>
                  </w:pPr>
                  <w:r>
                    <w:rPr>
                      <w:sz w:val="24"/>
                    </w:rPr>
                    <w:t>⑦知识拓展。</w:t>
                  </w:r>
                </w:p>
                <w:p>
                  <w:pPr>
                    <w:jc w:val="both"/>
                  </w:pPr>
                  <w:r>
                    <w:rPr>
                      <w:sz w:val="24"/>
                    </w:rPr>
                    <w:t>⑧活动和体验。</w:t>
                  </w:r>
                </w:p>
                <w:p>
                  <w:pPr>
                    <w:jc w:val="both"/>
                  </w:pPr>
                  <w:r>
                    <w:rPr>
                      <w:sz w:val="24"/>
                    </w:rPr>
                    <w:t>⑨思考与讨论。</w:t>
                  </w:r>
                </w:p>
                <w:p>
                  <w:pPr>
                    <w:jc w:val="both"/>
                  </w:pPr>
                  <w:r>
                    <w:rPr>
                      <w:sz w:val="24"/>
                    </w:rPr>
                    <w:t>⑩课后拓展活动记录表。</w:t>
                  </w:r>
                </w:p>
                <w:p>
                  <w:pPr>
                    <w:jc w:val="both"/>
                  </w:pPr>
                  <w:r>
                    <w:rPr>
                      <w:sz w:val="24"/>
                    </w:rPr>
                    <w:t>2.理实一体化课程的教材样例</w:t>
                  </w:r>
                </w:p>
                <w:p>
                  <w:pPr>
                    <w:jc w:val="both"/>
                  </w:pPr>
                  <w:r>
                    <w:rPr>
                      <w:sz w:val="24"/>
                    </w:rPr>
                    <w:t>按项目来编排，项目下面设多个任务。</w:t>
                  </w:r>
                </w:p>
                <w:p>
                  <w:pPr>
                    <w:jc w:val="both"/>
                  </w:pPr>
                  <w:r>
                    <w:rPr>
                      <w:sz w:val="24"/>
                    </w:rPr>
                    <w:t>项目下设有</w:t>
                  </w:r>
                  <w:r>
                    <w:rPr>
                      <w:sz w:val="24"/>
                    </w:rPr>
                    <w:t>“项目导读”“学习目标”“职业能力要求”“项目实施”。</w:t>
                  </w:r>
                </w:p>
                <w:p>
                  <w:pPr>
                    <w:jc w:val="both"/>
                  </w:pPr>
                  <w:r>
                    <w:rPr>
                      <w:sz w:val="24"/>
                    </w:rPr>
                    <w:t>任务下再设</w:t>
                  </w:r>
                  <w:r>
                    <w:rPr>
                      <w:sz w:val="24"/>
                    </w:rPr>
                    <w:t>“学习目标”“建议学时”“任务要求”“相关知识”“巩固提升”。</w:t>
                  </w:r>
                </w:p>
                <w:p>
                  <w:pPr>
                    <w:jc w:val="both"/>
                  </w:pPr>
                  <w:r>
                    <w:rPr>
                      <w:sz w:val="24"/>
                    </w:rPr>
                    <w:t>每个项目结束设有</w:t>
                  </w:r>
                  <w:r>
                    <w:rPr>
                      <w:sz w:val="24"/>
                    </w:rPr>
                    <w:t>“项目小结”“学习成果达成与测评”“项目自测”。</w:t>
                  </w:r>
                </w:p>
                <w:p>
                  <w:pPr>
                    <w:jc w:val="both"/>
                  </w:pPr>
                  <w:r>
                    <w:rPr>
                      <w:sz w:val="24"/>
                    </w:rPr>
                    <w:t>最后附有</w:t>
                  </w:r>
                  <w:r>
                    <w:rPr>
                      <w:sz w:val="24"/>
                    </w:rPr>
                    <w:t>“学习成果实施报告书”，根据需要还可有“自主创新项目”等。</w:t>
                  </w:r>
                </w:p>
                <w:p>
                  <w:pPr>
                    <w:jc w:val="both"/>
                  </w:pPr>
                  <w:r>
                    <w:rPr>
                      <w:sz w:val="24"/>
                    </w:rPr>
                    <w:t>3.实训类课程的教材样例</w:t>
                  </w:r>
                </w:p>
                <w:p>
                  <w:pPr>
                    <w:jc w:val="both"/>
                  </w:pPr>
                  <w:r>
                    <w:rPr>
                      <w:sz w:val="24"/>
                    </w:rPr>
                    <w:t>按项目来编排，项目下面设多个实训任务。</w:t>
                  </w:r>
                </w:p>
                <w:p>
                  <w:pPr>
                    <w:jc w:val="both"/>
                  </w:pPr>
                  <w:r>
                    <w:rPr>
                      <w:sz w:val="24"/>
                    </w:rPr>
                    <w:t>项目下设有</w:t>
                  </w:r>
                  <w:r>
                    <w:rPr>
                      <w:sz w:val="24"/>
                    </w:rPr>
                    <w:t>“项目目标”“项目任务”。</w:t>
                  </w:r>
                </w:p>
                <w:p>
                  <w:pPr>
                    <w:jc w:val="both"/>
                  </w:pPr>
                  <w:r>
                    <w:rPr>
                      <w:sz w:val="24"/>
                    </w:rPr>
                    <w:t>实训任务下再设</w:t>
                  </w:r>
                  <w:r>
                    <w:rPr>
                      <w:sz w:val="24"/>
                    </w:rPr>
                    <w:t>“实训目标”“实训内容”“实训工具/器材”“实训指导”“实训步骤”“思考题”。</w:t>
                  </w:r>
                </w:p>
                <w:p>
                  <w:pPr>
                    <w:jc w:val="both"/>
                  </w:pPr>
                  <w:r>
                    <w:rPr>
                      <w:sz w:val="24"/>
                    </w:rPr>
                    <w:t>每个项目结束设有</w:t>
                  </w:r>
                  <w:r>
                    <w:rPr>
                      <w:sz w:val="24"/>
                    </w:rPr>
                    <w:t>“项目相关知识点”若干。</w:t>
                  </w:r>
                </w:p>
                <w:p>
                  <w:pPr>
                    <w:jc w:val="both"/>
                  </w:pPr>
                  <w:r>
                    <w:rPr>
                      <w:sz w:val="24"/>
                    </w:rPr>
                    <w:t>4.1+X证书课程的教材样例</w:t>
                  </w:r>
                </w:p>
                <w:p>
                  <w:pPr>
                    <w:jc w:val="both"/>
                  </w:pPr>
                  <w:r>
                    <w:rPr>
                      <w:sz w:val="24"/>
                    </w:rPr>
                    <w:t>按工作领域来编排，工作领域下面设多个工作任务，工作任务下又设有多个工作子任务。</w:t>
                  </w:r>
                </w:p>
                <w:p>
                  <w:pPr>
                    <w:jc w:val="both"/>
                  </w:pPr>
                  <w:r>
                    <w:rPr>
                      <w:sz w:val="24"/>
                    </w:rPr>
                    <w:t>工作任务下设有</w:t>
                  </w:r>
                  <w:r>
                    <w:rPr>
                      <w:sz w:val="24"/>
                    </w:rPr>
                    <w:t>“任务目标”“任务导图”“知识回顾”“模拟训练”“实训步骤”“思考题”。</w:t>
                  </w:r>
                </w:p>
                <w:p>
                  <w:pPr>
                    <w:jc w:val="both"/>
                  </w:pPr>
                  <w:r>
                    <w:rPr>
                      <w:sz w:val="24"/>
                    </w:rPr>
                    <w:t>工作子任务下设有</w:t>
                  </w:r>
                  <w:r>
                    <w:rPr>
                      <w:sz w:val="24"/>
                    </w:rPr>
                    <w:t>“任务背景”“任务分析”“任务操作”“任务思考”。</w:t>
                  </w:r>
                </w:p>
              </w:tc>
            </w:tr>
            <w:tr>
              <w:tc>
                <w:tcPr>
                  <w:tcW w:type="dxa" w:w="326"/>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4888"/>
                  <w:tcBorders>
                    <w:top w:val="none" w:color="000000" w:sz="4"/>
                    <w:left w:val="single" w:color="000000" w:sz="4"/>
                    <w:bottom w:val="single" w:color="000000" w:sz="4"/>
                    <w:right w:val="single" w:color="000000" w:sz="4"/>
                  </w:tcBorders>
                  <w:shd w:fill="FFFFFF"/>
                  <w:vAlign w:val="top"/>
                </w:tcPr>
                <w:p>
                  <w:pPr>
                    <w:jc w:val="left"/>
                  </w:pPr>
                  <w:r>
                    <w:rPr>
                      <w:b/>
                      <w:sz w:val="24"/>
                    </w:rPr>
                    <w:t>二、输出成果：</w:t>
                  </w:r>
                </w:p>
                <w:p>
                  <w:pPr>
                    <w:jc w:val="left"/>
                  </w:pPr>
                  <w:r>
                    <w:rPr>
                      <w:sz w:val="24"/>
                    </w:rPr>
                    <w:t>《校本教材体例框架与要求表》</w:t>
                  </w:r>
                </w:p>
                <w:p>
                  <w:pPr>
                    <w:jc w:val="left"/>
                  </w:pPr>
                  <w:r>
                    <w:rPr>
                      <w:sz w:val="24"/>
                    </w:rPr>
                    <w:t>《校本教材》</w:t>
                  </w:r>
                  <w:r>
                    <w:rPr>
                      <w:sz w:val="24"/>
                    </w:rPr>
                    <w:t>*2</w:t>
                  </w:r>
                </w:p>
              </w:tc>
            </w:tr>
            <w:tr>
              <w:tc>
                <w:tcPr>
                  <w:tcW w:type="dxa" w:w="326"/>
                  <w:vMerge/>
                  <w:tcBorders>
                    <w:top w:val="none" w:color="000000" w:sz="4"/>
                    <w:left w:val="single" w:color="000000" w:sz="4"/>
                    <w:bottom w:val="single" w:color="000000" w:sz="4"/>
                    <w:right w:val="single" w:color="000000" w:sz="4"/>
                  </w:tcBorders>
                </w:tcPr>
                <w:p/>
              </w:tc>
              <w:tc>
                <w:tcPr>
                  <w:tcW w:type="dxa" w:w="383"/>
                  <w:vMerge w:val="restart"/>
                  <w:tcBorders>
                    <w:top w:val="none" w:color="000000" w:sz="4"/>
                    <w:left w:val="single" w:color="000000" w:sz="4"/>
                    <w:bottom w:val="single" w:color="000000" w:sz="4"/>
                    <w:right w:val="single" w:color="000000" w:sz="4"/>
                  </w:tcBorders>
                  <w:shd w:fill="FFFFFF"/>
                  <w:vAlign w:val="top"/>
                </w:tcPr>
                <w:p>
                  <w:pPr>
                    <w:jc w:val="center"/>
                  </w:pPr>
                  <w:r>
                    <w:rPr>
                      <w:b/>
                      <w:sz w:val="24"/>
                    </w:rPr>
                    <w:t>专业群教学资源库信息化平台搭建</w:t>
                  </w:r>
                </w:p>
              </w:tc>
              <w:tc>
                <w:tcPr>
                  <w:tcW w:type="dxa" w:w="4888"/>
                  <w:tcBorders>
                    <w:top w:val="none" w:color="000000" w:sz="4"/>
                    <w:left w:val="single" w:color="000000" w:sz="4"/>
                    <w:bottom w:val="single" w:color="000000" w:sz="4"/>
                    <w:right w:val="single" w:color="000000" w:sz="4"/>
                  </w:tcBorders>
                  <w:shd w:fill="FFFFFF"/>
                  <w:vAlign w:val="top"/>
                </w:tcPr>
                <w:p>
                  <w:pPr>
                    <w:jc w:val="left"/>
                  </w:pPr>
                  <w:r>
                    <w:rPr>
                      <w:b/>
                      <w:sz w:val="24"/>
                    </w:rPr>
                    <w:t>一、服务内容与要求：</w:t>
                  </w:r>
                </w:p>
                <w:p>
                  <w:pPr>
                    <w:jc w:val="left"/>
                  </w:pPr>
                  <w:r>
                    <w:rPr>
                      <w:sz w:val="24"/>
                    </w:rPr>
                    <w:t>1.整体要求:</w:t>
                  </w:r>
                </w:p>
                <w:p>
                  <w:pPr>
                    <w:jc w:val="left"/>
                  </w:pPr>
                  <w:r>
                    <w:rPr>
                      <w:sz w:val="24"/>
                    </w:rPr>
                    <w:t>专业教学资源库，以专业教学资源建设为核心，整合课程建设，打造一个集课程建设、教学资源管理、学生学习、教学交流互动于一体，要求以资源共享、共建、学习为目的，包含资源存储、资源管理、资源学习、资源评价等诸多功能，实现资源的快速上传、检索、分享和归档；同时又能利用平台资源完善课程建设、题库、作业库和试卷库等素材资源建设，方便教师和学生开展网上教学。</w:t>
                  </w:r>
                </w:p>
                <w:p>
                  <w:pPr>
                    <w:jc w:val="left"/>
                  </w:pPr>
                  <w:r>
                    <w:rPr>
                      <w:sz w:val="24"/>
                    </w:rPr>
                    <w:t>2.核心功能:</w:t>
                  </w:r>
                </w:p>
                <w:p>
                  <w:pPr>
                    <w:jc w:val="left"/>
                  </w:pPr>
                  <w:r>
                    <w:rPr>
                      <w:sz w:val="24"/>
                    </w:rPr>
                    <w:t>1）平台服务(同时在PC、Pad、Phone三个层面向学生提供学习服务，支持ios、Android、Mac、Windows等多个系统终端)</w:t>
                  </w:r>
                </w:p>
                <w:p>
                  <w:pPr>
                    <w:jc w:val="left"/>
                  </w:pPr>
                  <w:r>
                    <w:rPr>
                      <w:sz w:val="24"/>
                    </w:rPr>
                    <w:t>2）资源上传、下载、管理（提供网盘式管理）、分享</w:t>
                  </w:r>
                </w:p>
                <w:p>
                  <w:pPr>
                    <w:jc w:val="left"/>
                  </w:pPr>
                  <w:r>
                    <w:rPr>
                      <w:sz w:val="24"/>
                    </w:rPr>
                    <w:t>3）资源预览：</w:t>
                  </w:r>
                </w:p>
                <w:p>
                  <w:pPr>
                    <w:jc w:val="left"/>
                  </w:pPr>
                  <w:r>
                    <w:rPr>
                      <w:sz w:val="24"/>
                    </w:rPr>
                    <w:t>针对文本，</w:t>
                  </w:r>
                  <w:r>
                    <w:rPr>
                      <w:sz w:val="24"/>
                    </w:rPr>
                    <w:t>word，excel，ppt，pdf等文件，提供转换服务，将其转换为高保真的可在线预览格式；针对音频，视频等文件，提供线上自动转换服务，将其转换为流媒体数据格式，支持在线预览）支持在线学习资源，对于在线学习的资源，可以通过下载到本机上学习。</w:t>
                  </w:r>
                </w:p>
                <w:p>
                  <w:pPr>
                    <w:jc w:val="left"/>
                  </w:pPr>
                  <w:r>
                    <w:rPr>
                      <w:sz w:val="24"/>
                    </w:rPr>
                    <w:t>4）开课：一课程多次开课，提供课程分班机制，课程结业考试，课程单次开课的学习，作业，测试等数据的统计和分班统计，多次开课数据的对比统计。</w:t>
                  </w:r>
                </w:p>
                <w:p>
                  <w:pPr>
                    <w:jc w:val="left"/>
                  </w:pPr>
                  <w:r>
                    <w:rPr>
                      <w:sz w:val="24"/>
                    </w:rPr>
                    <w:t>5）课程学习：以课程为体系展开整体学习，支持作业管理功能，支持教学评测功能，教师可通过课程与学生进行学习互动，解答学生的问题。</w:t>
                  </w:r>
                </w:p>
                <w:p>
                  <w:pPr>
                    <w:jc w:val="left"/>
                  </w:pPr>
                  <w:r>
                    <w:rPr>
                      <w:sz w:val="24"/>
                    </w:rPr>
                    <w:t>6）课程管理及问题发布、回答、采纳、追问、点赞、分享、收藏等子功能。</w:t>
                  </w:r>
                </w:p>
                <w:p>
                  <w:pPr>
                    <w:jc w:val="left"/>
                  </w:pPr>
                  <w:r>
                    <w:rPr>
                      <w:sz w:val="24"/>
                    </w:rPr>
                    <w:t>7）数据中心</w:t>
                  </w:r>
                </w:p>
                <w:p>
                  <w:pPr>
                    <w:jc w:val="left"/>
                  </w:pPr>
                  <w:r>
                    <w:rPr>
                      <w:sz w:val="24"/>
                    </w:rPr>
                    <w:t>技术要求</w:t>
                  </w:r>
                </w:p>
                <w:p>
                  <w:pPr>
                    <w:jc w:val="left"/>
                  </w:pPr>
                  <w:r>
                    <w:rPr>
                      <w:sz w:val="24"/>
                    </w:rPr>
                    <w:t>1.系统要求基于.NET Framework 4.0 平台，C#编程语言研发。</w:t>
                  </w:r>
                </w:p>
                <w:p>
                  <w:pPr>
                    <w:jc w:val="left"/>
                  </w:pPr>
                  <w:r>
                    <w:rPr>
                      <w:sz w:val="24"/>
                    </w:rPr>
                    <w:t>2.系统要求基于WCF技术设计面向服务的体系架构。</w:t>
                  </w:r>
                </w:p>
                <w:p>
                  <w:pPr>
                    <w:jc w:val="left"/>
                  </w:pPr>
                  <w:r>
                    <w:rPr>
                      <w:sz w:val="24"/>
                    </w:rPr>
                    <w:t>3.系统必须提供敏感词过滤机制，针对带有敏感政治倾向（或反执政党倾向）、暴力倾向、不健康色彩的词或不文明语实现智能过滤。</w:t>
                  </w:r>
                </w:p>
                <w:p>
                  <w:pPr>
                    <w:jc w:val="left"/>
                  </w:pPr>
                  <w:r>
                    <w:rPr>
                      <w:sz w:val="24"/>
                    </w:rPr>
                    <w:t>4.系统要能够提供完善且强大的数据库和上传文件的自动备份机制。</w:t>
                  </w:r>
                </w:p>
                <w:p>
                  <w:pPr>
                    <w:jc w:val="left"/>
                  </w:pPr>
                  <w:r>
                    <w:rPr>
                      <w:sz w:val="24"/>
                    </w:rPr>
                    <w:t>5.数据库架构必须支持SqlServer2008及以上版本的数据库。</w:t>
                  </w:r>
                </w:p>
                <w:p>
                  <w:pPr>
                    <w:jc w:val="left"/>
                  </w:pPr>
                  <w:r>
                    <w:rPr>
                      <w:sz w:val="24"/>
                    </w:rPr>
                    <w:t>6.系统整体架构必须支持Windows Server 2008及以上版本的服务器。</w:t>
                  </w:r>
                </w:p>
                <w:p>
                  <w:pPr>
                    <w:jc w:val="left"/>
                  </w:pPr>
                  <w:r>
                    <w:rPr>
                      <w:sz w:val="24"/>
                    </w:rPr>
                    <w:t>7.系统必须支持安全应用的五个层次，即：部署、数据、传输、应用和审计。同时支持防SQL注入、防Cookie欺骗、防不安全文件上传。</w:t>
                  </w:r>
                </w:p>
              </w:tc>
            </w:tr>
            <w:tr>
              <w:tc>
                <w:tcPr>
                  <w:tcW w:type="dxa" w:w="326"/>
                  <w:vMerge/>
                  <w:tcBorders>
                    <w:top w:val="none" w:color="000000" w:sz="4"/>
                    <w:left w:val="single" w:color="000000" w:sz="4"/>
                    <w:bottom w:val="single" w:color="000000" w:sz="4"/>
                    <w:right w:val="single" w:color="000000" w:sz="4"/>
                  </w:tcBorders>
                </w:tcPr>
                <w:p/>
              </w:tc>
              <w:tc>
                <w:tcPr>
                  <w:tcW w:type="dxa" w:w="383"/>
                  <w:vMerge/>
                  <w:tcBorders>
                    <w:top w:val="none" w:color="000000" w:sz="4"/>
                    <w:left w:val="single" w:color="000000" w:sz="4"/>
                    <w:bottom w:val="single" w:color="000000" w:sz="4"/>
                    <w:right w:val="single" w:color="000000" w:sz="4"/>
                  </w:tcBorders>
                </w:tcPr>
                <w:p/>
              </w:tc>
              <w:tc>
                <w:tcPr>
                  <w:tcW w:type="dxa" w:w="4888"/>
                  <w:tcBorders>
                    <w:top w:val="none" w:color="000000" w:sz="4"/>
                    <w:left w:val="single" w:color="000000" w:sz="4"/>
                    <w:bottom w:val="single" w:color="000000" w:sz="4"/>
                    <w:right w:val="single" w:color="000000" w:sz="4"/>
                  </w:tcBorders>
                  <w:shd w:fill="FFFFFF"/>
                  <w:vAlign w:val="top"/>
                </w:tcPr>
                <w:p>
                  <w:pPr>
                    <w:jc w:val="left"/>
                  </w:pPr>
                  <w:r>
                    <w:rPr>
                      <w:b/>
                      <w:sz w:val="24"/>
                    </w:rPr>
                    <w:t>二、输出成果：</w:t>
                  </w:r>
                </w:p>
                <w:p>
                  <w:pPr>
                    <w:jc w:val="left"/>
                  </w:pPr>
                  <w:r>
                    <w:rPr>
                      <w:sz w:val="24"/>
                    </w:rPr>
                    <w:t>专业群教学资源库信息化平台部署</w:t>
                  </w:r>
                </w:p>
                <w:p>
                  <w:pPr>
                    <w:jc w:val="left"/>
                  </w:pPr>
                  <w:r>
                    <w:rPr>
                      <w:sz w:val="24"/>
                    </w:rPr>
                    <w:t>专业群教学资源库信息化平台操作培训会议</w:t>
                  </w:r>
                </w:p>
                <w:p>
                  <w:pPr>
                    <w:jc w:val="left"/>
                  </w:pPr>
                  <w:r>
                    <w:rPr>
                      <w:sz w:val="24"/>
                    </w:rPr>
                    <w:t>专业群教学资源库信息化平台使用说明书</w:t>
                  </w:r>
                </w:p>
              </w:tc>
            </w:tr>
          </w:tbl>
          <w:p>
            <w:pPr>
              <w:jc w:val="both"/>
            </w:pPr>
          </w:p>
          <w:p/>
          <w:p/>
          <w:p>
            <w:r>
              <w:rPr/>
              <w:t xml:space="preserve"> </w:t>
            </w:r>
          </w:p>
          <w:p>
            <w:pPr>
              <w:jc w:val="left"/>
            </w:pPr>
            <w:r>
              <w:rPr>
                <w:sz w:val="24"/>
              </w:rPr>
              <w:t>（十三）、工艺美术</w:t>
            </w:r>
            <w:r>
              <w:rPr>
                <w:sz w:val="24"/>
              </w:rPr>
              <w:t>216设计工作室</w:t>
            </w:r>
          </w:p>
          <w:tbl>
            <w:tblPr>
              <w:tblBorders>
                <w:top w:val="none" w:color="000000" w:sz="4"/>
                <w:left w:val="none" w:color="000000" w:sz="4"/>
                <w:bottom w:val="none" w:color="000000" w:sz="4"/>
                <w:right w:val="none" w:color="000000" w:sz="4"/>
                <w:insideH w:val="none"/>
                <w:insideV w:val="none"/>
              </w:tblBorders>
            </w:tblPr>
            <w:tblGrid>
              <w:gridCol w:w="197"/>
              <w:gridCol w:w="245"/>
              <w:gridCol w:w="4663"/>
              <w:gridCol w:w="258"/>
              <w:gridCol w:w="233"/>
            </w:tblGrid>
            <w:tr>
              <w:tc>
                <w:tcPr>
                  <w:tcW w:type="dxa" w:w="19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245"/>
                  <w:tcBorders>
                    <w:top w:val="single" w:color="000000" w:sz="4"/>
                    <w:left w:val="single" w:color="000000" w:sz="4"/>
                    <w:bottom w:val="single" w:color="000000" w:sz="4"/>
                    <w:right w:val="single" w:color="000000" w:sz="4"/>
                  </w:tcBorders>
                  <w:vAlign w:val="top"/>
                </w:tcPr>
                <w:p>
                  <w:pPr>
                    <w:jc w:val="center"/>
                  </w:pPr>
                  <w:r>
                    <w:rPr>
                      <w:b/>
                      <w:sz w:val="21"/>
                    </w:rPr>
                    <w:t>名称</w:t>
                  </w:r>
                </w:p>
              </w:tc>
              <w:tc>
                <w:tcPr>
                  <w:tcW w:type="dxa" w:w="4663"/>
                  <w:tcBorders>
                    <w:top w:val="single" w:color="000000" w:sz="4"/>
                    <w:left w:val="single" w:color="000000" w:sz="4"/>
                    <w:bottom w:val="single" w:color="000000" w:sz="4"/>
                    <w:right w:val="single" w:color="000000" w:sz="4"/>
                  </w:tcBorders>
                  <w:vAlign w:val="top"/>
                </w:tcPr>
                <w:p>
                  <w:pPr>
                    <w:jc w:val="center"/>
                  </w:pPr>
                  <w:r>
                    <w:rPr>
                      <w:b/>
                      <w:sz w:val="21"/>
                    </w:rPr>
                    <w:t>技术参数</w:t>
                  </w:r>
                </w:p>
              </w:tc>
              <w:tc>
                <w:tcPr>
                  <w:tcW w:type="dxa" w:w="258"/>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233"/>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197"/>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245"/>
                  <w:tcBorders>
                    <w:top w:val="none" w:color="000000" w:sz="4"/>
                    <w:left w:val="single" w:color="000000" w:sz="4"/>
                    <w:bottom w:val="single" w:color="000000" w:sz="4"/>
                    <w:right w:val="single" w:color="000000" w:sz="4"/>
                  </w:tcBorders>
                  <w:vAlign w:val="top"/>
                </w:tcPr>
                <w:p>
                  <w:pPr>
                    <w:jc w:val="center"/>
                  </w:pPr>
                  <w:r>
                    <w:rPr>
                      <w:sz w:val="21"/>
                    </w:rPr>
                    <w:t>图形工作站</w:t>
                  </w:r>
                </w:p>
              </w:tc>
              <w:tc>
                <w:tcPr>
                  <w:tcW w:type="dxa" w:w="4663"/>
                  <w:tcBorders>
                    <w:top w:val="none" w:color="000000" w:sz="4"/>
                    <w:left w:val="single" w:color="000000" w:sz="4"/>
                    <w:bottom w:val="single" w:color="000000" w:sz="4"/>
                    <w:right w:val="single" w:color="000000" w:sz="4"/>
                  </w:tcBorders>
                  <w:vAlign w:val="top"/>
                </w:tcPr>
                <w:p>
                  <w:pPr>
                    <w:jc w:val="left"/>
                  </w:pPr>
                  <w:r>
                    <w:rPr>
                      <w:sz w:val="21"/>
                    </w:rPr>
                    <w:t>★</w:t>
                  </w:r>
                  <w:r>
                    <w:rPr>
                      <w:sz w:val="21"/>
                    </w:rPr>
                    <w:t>1.1</w:t>
                  </w:r>
                  <w:r>
                    <w:rPr>
                      <w:sz w:val="21"/>
                    </w:rPr>
                    <w:t>、</w:t>
                  </w:r>
                  <w:r>
                    <w:rPr>
                      <w:sz w:val="21"/>
                    </w:rPr>
                    <w:t>相当或优于十代</w:t>
                  </w:r>
                  <w:r>
                    <w:rPr>
                      <w:sz w:val="21"/>
                    </w:rPr>
                    <w:t>Intel i7</w:t>
                  </w:r>
                  <w:r>
                    <w:rPr>
                      <w:sz w:val="21"/>
                    </w:rPr>
                    <w:t>处理器</w:t>
                  </w:r>
                  <w:r>
                    <w:rPr>
                      <w:sz w:val="21"/>
                    </w:rPr>
                    <w:t xml:space="preserve"> </w:t>
                  </w:r>
                  <w:r>
                    <w:rPr>
                      <w:sz w:val="21"/>
                    </w:rPr>
                    <w:t>,16M高速缓存缓存，8 核</w:t>
                  </w:r>
                </w:p>
                <w:p>
                  <w:pPr>
                    <w:jc w:val="left"/>
                  </w:pPr>
                  <w:r>
                    <w:rPr>
                      <w:sz w:val="21"/>
                    </w:rPr>
                    <w:t>▲</w:t>
                  </w:r>
                  <w:r>
                    <w:rPr>
                      <w:sz w:val="21"/>
                    </w:rPr>
                    <w:t>1.2、主板:</w:t>
                  </w:r>
                  <w:r>
                    <w:rPr>
                      <w:sz w:val="21"/>
                    </w:rPr>
                    <w:t>相当或优于英特尔</w:t>
                  </w:r>
                  <w:r>
                    <w:rPr>
                      <w:sz w:val="21"/>
                    </w:rPr>
                    <w:t>® W480</w:t>
                  </w:r>
                  <w:r>
                    <w:rPr>
                      <w:sz w:val="21"/>
                    </w:rPr>
                    <w:t>芯片组</w:t>
                  </w:r>
                </w:p>
                <w:p>
                  <w:pPr>
                    <w:jc w:val="left"/>
                  </w:pPr>
                  <w:r>
                    <w:rPr>
                      <w:sz w:val="21"/>
                    </w:rPr>
                    <w:t>1.3、最高可配4个2.5 英寸或者3个3.5英寸，2个M.2 SSD插槽</w:t>
                  </w:r>
                </w:p>
                <w:p>
                  <w:pPr>
                    <w:jc w:val="left"/>
                  </w:pPr>
                  <w:r>
                    <w:rPr>
                      <w:sz w:val="21"/>
                    </w:rPr>
                    <w:t>可支持一个超高速驱动器（</w:t>
                  </w:r>
                  <w:r>
                    <w:rPr>
                      <w:sz w:val="21"/>
                    </w:rPr>
                    <w:t>x8）的PCI-e硬盘，本次配置1块3.5 英寸 1TB 7200rpm SATA +256G SSD</w:t>
                  </w:r>
                  <w:r>
                    <w:rPr>
                      <w:sz w:val="21"/>
                    </w:rPr>
                    <w:t>硬盘或优于</w:t>
                  </w:r>
                </w:p>
                <w:p>
                  <w:pPr>
                    <w:jc w:val="left"/>
                  </w:pPr>
                  <w:r>
                    <w:rPr>
                      <w:sz w:val="21"/>
                    </w:rPr>
                    <w:t>▲</w:t>
                  </w:r>
                  <w:r>
                    <w:rPr>
                      <w:sz w:val="21"/>
                    </w:rPr>
                    <w:t>1.4、内存：</w:t>
                  </w:r>
                  <w:r>
                    <w:rPr>
                      <w:sz w:val="21"/>
                    </w:rPr>
                    <w:t>≥16G</w:t>
                  </w:r>
                  <w:r>
                    <w:rPr>
                      <w:sz w:val="21"/>
                    </w:rPr>
                    <w:t xml:space="preserve"> </w:t>
                  </w:r>
                  <w:r>
                    <w:rPr>
                      <w:sz w:val="21"/>
                    </w:rPr>
                    <w:t>DDR4 2933MHz，可支持内存硬件防错技术，标记坏死扇区，通过重启移除故障延长使用寿命。（</w:t>
                  </w:r>
                  <w:r>
                    <w:rPr>
                      <w:sz w:val="21"/>
                    </w:rPr>
                    <w:t>提供相关证明材料</w:t>
                  </w:r>
                  <w:r>
                    <w:rPr>
                      <w:sz w:val="21"/>
                    </w:rPr>
                    <w:t>）</w:t>
                  </w:r>
                </w:p>
                <w:p>
                  <w:pPr>
                    <w:jc w:val="left"/>
                  </w:pPr>
                  <w:r>
                    <w:rPr>
                      <w:sz w:val="21"/>
                    </w:rPr>
                    <w:t>★</w:t>
                  </w:r>
                  <w:r>
                    <w:rPr>
                      <w:sz w:val="21"/>
                    </w:rPr>
                    <w:t>1.5、专业显卡：</w:t>
                  </w:r>
                  <w:r>
                    <w:rPr>
                      <w:sz w:val="21"/>
                    </w:rPr>
                    <w:t>≥4GB独立显卡</w:t>
                  </w:r>
                  <w:r>
                    <w:rPr>
                      <w:sz w:val="21"/>
                    </w:rPr>
                    <w:t>。</w:t>
                  </w:r>
                </w:p>
                <w:p>
                  <w:pPr>
                    <w:jc w:val="left"/>
                  </w:pPr>
                  <w:r>
                    <w:rPr>
                      <w:sz w:val="21"/>
                    </w:rPr>
                    <w:t>▲</w:t>
                  </w:r>
                  <w:r>
                    <w:rPr>
                      <w:sz w:val="21"/>
                    </w:rPr>
                    <w:t>1.6、主机电源：</w:t>
                  </w:r>
                  <w:r>
                    <w:rPr>
                      <w:sz w:val="21"/>
                    </w:rPr>
                    <w:t>能效高达</w:t>
                  </w:r>
                  <w:r>
                    <w:rPr>
                      <w:sz w:val="21"/>
                    </w:rPr>
                    <w:t>85%（能通过铜牌认证</w:t>
                  </w:r>
                  <w:r>
                    <w:rPr>
                      <w:sz w:val="21"/>
                    </w:rPr>
                    <w:t>，电源自带故障诊断灯，带自检开关）</w:t>
                  </w:r>
                </w:p>
                <w:p>
                  <w:pPr>
                    <w:jc w:val="left"/>
                  </w:pPr>
                  <w:r>
                    <w:rPr>
                      <w:sz w:val="21"/>
                    </w:rPr>
                    <w:t>1.7、接口和插槽：11个 USB 端口（6*USB3.1，并自带一个快速充电USB接口，包括Type-c接口），2个 半高PCIe x16 ，2个 半高PCIe x1，1个用于可选无线网卡的M.2 2230，一个用于存储硬盘的M.2 2280。</w:t>
                  </w:r>
                </w:p>
                <w:p>
                  <w:pPr>
                    <w:jc w:val="left"/>
                  </w:pPr>
                  <w:r>
                    <w:rPr>
                      <w:sz w:val="21"/>
                    </w:rPr>
                    <w:t>1.8、网络同传：网络同传+硬盘保护。</w:t>
                  </w:r>
                </w:p>
                <w:p>
                  <w:pPr>
                    <w:jc w:val="left"/>
                  </w:pPr>
                  <w:r>
                    <w:rPr>
                      <w:sz w:val="21"/>
                    </w:rPr>
                    <w:t>1.9、键盘与鼠标  标准配置USB抗菌键盘与鼠标，抗菌率不低于99%。</w:t>
                  </w:r>
                </w:p>
                <w:p>
                  <w:pPr>
                    <w:jc w:val="left"/>
                  </w:pPr>
                  <w:r>
                    <w:rPr>
                      <w:sz w:val="21"/>
                    </w:rPr>
                    <w:t>1.10、显示器：同一品牌23.8"宽屏</w:t>
                  </w:r>
                  <w:r>
                    <w:rPr>
                      <w:sz w:val="21"/>
                    </w:rPr>
                    <w:t>或优于</w:t>
                  </w:r>
                  <w:r>
                    <w:rPr>
                      <w:sz w:val="21"/>
                    </w:rPr>
                    <w:t>，</w:t>
                  </w:r>
                  <w:r>
                    <w:rPr>
                      <w:sz w:val="21"/>
                    </w:rPr>
                    <w:t>16:9 IPS面板，1920x1080分辨率</w:t>
                  </w:r>
                  <w:r>
                    <w:rPr>
                      <w:sz w:val="21"/>
                    </w:rPr>
                    <w:t>或优于</w:t>
                  </w:r>
                  <w:r>
                    <w:rPr>
                      <w:sz w:val="21"/>
                    </w:rPr>
                    <w:t>，</w:t>
                  </w:r>
                  <w:r>
                    <w:rPr>
                      <w:sz w:val="21"/>
                    </w:rPr>
                    <w:t>可视角度</w:t>
                  </w:r>
                  <w:r>
                    <w:rPr>
                      <w:sz w:val="21"/>
                    </w:rPr>
                    <w:t>≥</w:t>
                  </w:r>
                  <w:r>
                    <w:rPr>
                      <w:sz w:val="21"/>
                    </w:rPr>
                    <w:t>178°，</w:t>
                  </w:r>
                  <w:r>
                    <w:rPr>
                      <w:sz w:val="21"/>
                    </w:rPr>
                    <w:t>至多</w:t>
                  </w:r>
                  <w:r>
                    <w:rPr>
                      <w:sz w:val="21"/>
                    </w:rPr>
                    <w:t>5ms响应，低蓝光调节，升降调节支架，可轴心左右旋转。</w:t>
                  </w:r>
                </w:p>
                <w:p>
                  <w:pPr>
                    <w:jc w:val="left"/>
                  </w:pPr>
                  <w:r>
                    <w:rPr>
                      <w:sz w:val="21"/>
                    </w:rPr>
                    <w:t>1.11、网络同传及硬盘保护功能性：</w:t>
                  </w:r>
                </w:p>
                <w:p>
                  <w:pPr>
                    <w:jc w:val="left"/>
                  </w:pPr>
                  <w:r>
                    <w:rPr>
                      <w:sz w:val="21"/>
                    </w:rPr>
                    <w:t>1.11.1、支持混合硬盘保护，实现跨硬盘安装多系统。</w:t>
                  </w:r>
                </w:p>
                <w:p>
                  <w:pPr>
                    <w:jc w:val="left"/>
                  </w:pPr>
                  <w:r>
                    <w:rPr>
                      <w:sz w:val="21"/>
                    </w:rPr>
                    <w:t>1.11.2、支持双硬盘保护，实现网络同传。</w:t>
                  </w:r>
                </w:p>
                <w:p>
                  <w:pPr>
                    <w:jc w:val="left"/>
                  </w:pPr>
                  <w:r>
                    <w:rPr>
                      <w:sz w:val="21"/>
                    </w:rPr>
                    <w:t>1.11.3、支持虚拟磁盘，防止数据丢失，通过虚拟磁盘功能，加载进度数据，可以拷贝出来。</w:t>
                  </w:r>
                </w:p>
                <w:p>
                  <w:pPr>
                    <w:jc w:val="left"/>
                  </w:pPr>
                  <w:r>
                    <w:rPr>
                      <w:sz w:val="21"/>
                    </w:rPr>
                    <w:t>1.11.4、支持GPT/MBR系统0秒切换不需要设置BIOS直接进入。</w:t>
                  </w:r>
                </w:p>
                <w:p>
                  <w:pPr>
                    <w:jc w:val="left"/>
                  </w:pPr>
                  <w:r>
                    <w:rPr>
                      <w:sz w:val="21"/>
                    </w:rPr>
                    <w:t>1.11.5、最多支持创建64个操作系统，可隐藏操作系统不让使用，支持NTFS/FAT32资料盘自动清除，支持共用分区保护。</w:t>
                  </w:r>
                </w:p>
                <w:p>
                  <w:pPr>
                    <w:jc w:val="left"/>
                  </w:pPr>
                  <w:r>
                    <w:rPr>
                      <w:sz w:val="21"/>
                    </w:rPr>
                    <w:t>1.11.6、可控制学生机是否能上网，或者设定机房内计算机内外网的访问黑白名单，提供良好教学环境。</w:t>
                  </w:r>
                </w:p>
                <w:p>
                  <w:pPr>
                    <w:jc w:val="left"/>
                  </w:pPr>
                  <w:r>
                    <w:rPr>
                      <w:sz w:val="21"/>
                    </w:rPr>
                    <w:t>1.11.7、可远程查看学生机屏幕，对学生进行实时指导。</w:t>
                  </w:r>
                </w:p>
                <w:p>
                  <w:pPr>
                    <w:jc w:val="left"/>
                  </w:pPr>
                  <w:r>
                    <w:rPr>
                      <w:sz w:val="21"/>
                    </w:rPr>
                    <w:t>1.11.8、支持远程屏幕消息广播，及时通知消息，在练习，考试时进行提醒。</w:t>
                  </w:r>
                </w:p>
                <w:p>
                  <w:pPr>
                    <w:jc w:val="left"/>
                  </w:pPr>
                  <w:r>
                    <w:rPr>
                      <w:sz w:val="21"/>
                    </w:rPr>
                    <w:t>1.11.9、支持因病毒攻击、以外文件删除、操作系统损坏/软件损坏、硬件故障造成的数据丢失备份和恢复</w:t>
                  </w:r>
                </w:p>
                <w:p>
                  <w:pPr>
                    <w:jc w:val="left"/>
                  </w:pPr>
                  <w:r>
                    <w:rPr>
                      <w:sz w:val="21"/>
                    </w:rPr>
                    <w:t>▲</w:t>
                  </w:r>
                  <w:r>
                    <w:rPr>
                      <w:sz w:val="21"/>
                    </w:rPr>
                    <w:t>1.12、产品能通过3C认证（提供相关证明材料）</w:t>
                  </w:r>
                </w:p>
              </w:tc>
              <w:tc>
                <w:tcPr>
                  <w:tcW w:type="dxa" w:w="258"/>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233"/>
                  <w:tcBorders>
                    <w:top w:val="none" w:color="000000" w:sz="4"/>
                    <w:left w:val="single" w:color="000000" w:sz="4"/>
                    <w:bottom w:val="single" w:color="000000" w:sz="4"/>
                    <w:right w:val="single" w:color="000000" w:sz="4"/>
                  </w:tcBorders>
                  <w:vAlign w:val="top"/>
                </w:tcPr>
                <w:p>
                  <w:pPr>
                    <w:jc w:val="center"/>
                  </w:pPr>
                  <w:r>
                    <w:rPr>
                      <w:sz w:val="21"/>
                    </w:rPr>
                    <w:t>1</w:t>
                  </w:r>
                </w:p>
              </w:tc>
            </w:tr>
          </w:tbl>
          <w:p>
            <w:pPr>
              <w:jc w:val="left"/>
            </w:pPr>
            <w:r>
              <w:rPr>
                <w:sz w:val="24"/>
              </w:rPr>
              <w:t>（十四）、工艺美术木雕、雕塑工场（</w:t>
            </w:r>
            <w:r>
              <w:rPr>
                <w:sz w:val="24"/>
              </w:rPr>
              <w:t>110室）</w:t>
            </w:r>
          </w:p>
          <w:tbl>
            <w:tblPr>
              <w:tblBorders>
                <w:top w:val="none" w:color="000000" w:sz="4"/>
                <w:left w:val="none" w:color="000000" w:sz="4"/>
                <w:bottom w:val="none" w:color="000000" w:sz="4"/>
                <w:right w:val="none" w:color="000000" w:sz="4"/>
                <w:insideH w:val="none"/>
                <w:insideV w:val="none"/>
              </w:tblBorders>
            </w:tblPr>
            <w:tblGrid>
              <w:gridCol w:w="222"/>
              <w:gridCol w:w="708"/>
              <w:gridCol w:w="4103"/>
              <w:gridCol w:w="311"/>
              <w:gridCol w:w="252"/>
            </w:tblGrid>
            <w:tr>
              <w:tc>
                <w:tcPr>
                  <w:tcW w:type="dxa" w:w="222"/>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708"/>
                  <w:tcBorders>
                    <w:top w:val="single" w:color="000000" w:sz="4"/>
                    <w:left w:val="single" w:color="000000" w:sz="4"/>
                    <w:bottom w:val="single" w:color="000000" w:sz="4"/>
                    <w:right w:val="single" w:color="000000" w:sz="4"/>
                  </w:tcBorders>
                  <w:vAlign w:val="top"/>
                </w:tcPr>
                <w:p>
                  <w:pPr>
                    <w:jc w:val="center"/>
                  </w:pPr>
                  <w:r>
                    <w:rPr>
                      <w:b/>
                      <w:sz w:val="21"/>
                    </w:rPr>
                    <w:t>名称</w:t>
                  </w:r>
                </w:p>
              </w:tc>
              <w:tc>
                <w:tcPr>
                  <w:tcW w:type="dxa" w:w="4103"/>
                  <w:tcBorders>
                    <w:top w:val="single" w:color="000000" w:sz="4"/>
                    <w:left w:val="single" w:color="000000" w:sz="4"/>
                    <w:bottom w:val="single" w:color="000000" w:sz="4"/>
                    <w:right w:val="single" w:color="000000" w:sz="4"/>
                  </w:tcBorders>
                  <w:vAlign w:val="top"/>
                </w:tcPr>
                <w:p>
                  <w:pPr>
                    <w:jc w:val="center"/>
                  </w:pPr>
                  <w:r>
                    <w:rPr>
                      <w:b/>
                      <w:sz w:val="21"/>
                    </w:rPr>
                    <w:t>技术参数</w:t>
                  </w:r>
                </w:p>
              </w:tc>
              <w:tc>
                <w:tcPr>
                  <w:tcW w:type="dxa" w:w="311"/>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252"/>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222"/>
                  <w:tcBorders>
                    <w:top w:val="none" w:color="000000" w:sz="4"/>
                    <w:left w:val="single" w:color="000000" w:sz="4"/>
                    <w:bottom w:val="single" w:color="000000" w:sz="4"/>
                    <w:right w:val="single" w:color="000000" w:sz="4"/>
                  </w:tcBorders>
                  <w:vAlign w:val="top"/>
                </w:tcPr>
                <w:p>
                  <w:pPr>
                    <w:jc w:val="center"/>
                  </w:pPr>
                  <w:r>
                    <w:rPr>
                      <w:sz w:val="21"/>
                    </w:rPr>
                    <w:t>1</w:t>
                  </w:r>
                </w:p>
              </w:tc>
              <w:tc>
                <w:tcPr>
                  <w:tcW w:type="dxa" w:w="708"/>
                  <w:tcBorders>
                    <w:top w:val="none" w:color="000000" w:sz="4"/>
                    <w:left w:val="single" w:color="000000" w:sz="4"/>
                    <w:bottom w:val="single" w:color="000000" w:sz="4"/>
                    <w:right w:val="single" w:color="000000" w:sz="4"/>
                  </w:tcBorders>
                  <w:vAlign w:val="top"/>
                </w:tcPr>
                <w:p>
                  <w:pPr>
                    <w:jc w:val="center"/>
                  </w:pPr>
                  <w:r>
                    <w:rPr>
                      <w:sz w:val="21"/>
                    </w:rPr>
                    <w:t>木雕室购置设备</w:t>
                  </w:r>
                </w:p>
              </w:tc>
              <w:tc>
                <w:tcPr>
                  <w:tcW w:type="dxa" w:w="4103"/>
                  <w:tcBorders>
                    <w:top w:val="none" w:color="000000" w:sz="4"/>
                    <w:left w:val="single" w:color="000000" w:sz="4"/>
                    <w:bottom w:val="single" w:color="000000" w:sz="4"/>
                    <w:right w:val="single" w:color="000000" w:sz="4"/>
                  </w:tcBorders>
                  <w:vAlign w:val="top"/>
                </w:tcPr>
                <w:p>
                  <w:pPr>
                    <w:jc w:val="left"/>
                  </w:pPr>
                  <w:r>
                    <w:rPr>
                      <w:sz w:val="21"/>
                    </w:rPr>
                    <w:t>数控玉石雕刻机、压刨机、拉花锯及锯台、电木铣、黑胡桃木料、榉木等实训器械及元配件</w:t>
                  </w:r>
                </w:p>
              </w:tc>
              <w:tc>
                <w:tcPr>
                  <w:tcW w:type="dxa" w:w="311"/>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252"/>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22"/>
                  <w:tcBorders>
                    <w:top w:val="none" w:color="000000" w:sz="4"/>
                    <w:left w:val="single" w:color="000000" w:sz="4"/>
                    <w:bottom w:val="single" w:color="000000" w:sz="4"/>
                    <w:right w:val="single" w:color="000000" w:sz="4"/>
                  </w:tcBorders>
                  <w:vAlign w:val="top"/>
                </w:tcPr>
                <w:p>
                  <w:pPr>
                    <w:jc w:val="center"/>
                  </w:pPr>
                  <w:r>
                    <w:rPr>
                      <w:sz w:val="21"/>
                    </w:rPr>
                    <w:t>2</w:t>
                  </w:r>
                </w:p>
              </w:tc>
              <w:tc>
                <w:tcPr>
                  <w:tcW w:type="dxa" w:w="708"/>
                  <w:tcBorders>
                    <w:top w:val="none" w:color="000000" w:sz="4"/>
                    <w:left w:val="single" w:color="000000" w:sz="4"/>
                    <w:bottom w:val="single" w:color="000000" w:sz="4"/>
                    <w:right w:val="single" w:color="000000" w:sz="4"/>
                  </w:tcBorders>
                  <w:vAlign w:val="top"/>
                </w:tcPr>
                <w:p>
                  <w:pPr>
                    <w:jc w:val="center"/>
                  </w:pPr>
                  <w:r>
                    <w:rPr>
                      <w:sz w:val="21"/>
                    </w:rPr>
                    <w:t>雕塑室购置设备</w:t>
                  </w:r>
                </w:p>
              </w:tc>
              <w:tc>
                <w:tcPr>
                  <w:tcW w:type="dxa" w:w="4103"/>
                  <w:tcBorders>
                    <w:top w:val="none" w:color="000000" w:sz="4"/>
                    <w:left w:val="single" w:color="000000" w:sz="4"/>
                    <w:bottom w:val="single" w:color="000000" w:sz="4"/>
                    <w:right w:val="single" w:color="000000" w:sz="4"/>
                  </w:tcBorders>
                  <w:vAlign w:val="top"/>
                </w:tcPr>
                <w:p>
                  <w:pPr>
                    <w:jc w:val="left"/>
                  </w:pPr>
                  <w:r>
                    <w:rPr>
                      <w:sz w:val="21"/>
                    </w:rPr>
                    <w:t>练泥机、集尘设备、电锯、吊磨机等实训器械及元配件</w:t>
                  </w:r>
                </w:p>
              </w:tc>
              <w:tc>
                <w:tcPr>
                  <w:tcW w:type="dxa" w:w="311"/>
                  <w:tcBorders>
                    <w:top w:val="none" w:color="000000" w:sz="4"/>
                    <w:left w:val="single" w:color="000000" w:sz="4"/>
                    <w:bottom w:val="single" w:color="000000" w:sz="4"/>
                    <w:right w:val="single" w:color="000000" w:sz="4"/>
                  </w:tcBorders>
                  <w:vAlign w:val="top"/>
                </w:tcPr>
                <w:p>
                  <w:pPr>
                    <w:jc w:val="center"/>
                  </w:pPr>
                  <w:r>
                    <w:rPr>
                      <w:sz w:val="21"/>
                    </w:rPr>
                    <w:t>套</w:t>
                  </w:r>
                </w:p>
              </w:tc>
              <w:tc>
                <w:tcPr>
                  <w:tcW w:type="dxa" w:w="252"/>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22"/>
                  <w:tcBorders>
                    <w:top w:val="none" w:color="000000" w:sz="4"/>
                    <w:left w:val="single" w:color="000000" w:sz="4"/>
                    <w:bottom w:val="single" w:color="000000" w:sz="4"/>
                    <w:right w:val="single" w:color="000000" w:sz="4"/>
                  </w:tcBorders>
                  <w:vAlign w:val="top"/>
                </w:tcPr>
                <w:p>
                  <w:pPr>
                    <w:jc w:val="center"/>
                  </w:pPr>
                  <w:r>
                    <w:rPr>
                      <w:sz w:val="21"/>
                    </w:rPr>
                    <w:t>3</w:t>
                  </w:r>
                </w:p>
              </w:tc>
              <w:tc>
                <w:tcPr>
                  <w:tcW w:type="dxa" w:w="708"/>
                  <w:tcBorders>
                    <w:top w:val="none" w:color="000000" w:sz="4"/>
                    <w:left w:val="single" w:color="000000" w:sz="4"/>
                    <w:bottom w:val="single" w:color="000000" w:sz="4"/>
                    <w:right w:val="single" w:color="000000" w:sz="4"/>
                  </w:tcBorders>
                  <w:vAlign w:val="top"/>
                </w:tcPr>
                <w:p>
                  <w:pPr>
                    <w:jc w:val="center"/>
                  </w:pPr>
                  <w:r>
                    <w:rPr>
                      <w:sz w:val="21"/>
                    </w:rPr>
                    <w:t>木雕室购置设备配套集成</w:t>
                  </w:r>
                </w:p>
              </w:tc>
              <w:tc>
                <w:tcPr>
                  <w:tcW w:type="dxa" w:w="4103"/>
                  <w:tcBorders>
                    <w:top w:val="none" w:color="000000" w:sz="4"/>
                    <w:left w:val="single" w:color="000000" w:sz="4"/>
                    <w:bottom w:val="single" w:color="000000" w:sz="4"/>
                    <w:right w:val="single" w:color="000000" w:sz="4"/>
                  </w:tcBorders>
                  <w:vAlign w:val="top"/>
                </w:tcPr>
                <w:p>
                  <w:pPr>
                    <w:jc w:val="left"/>
                  </w:pPr>
                  <w:r>
                    <w:rPr>
                      <w:sz w:val="21"/>
                    </w:rPr>
                    <w:t>木雕室实训器械元配件配套集成</w:t>
                  </w:r>
                </w:p>
              </w:tc>
              <w:tc>
                <w:tcPr>
                  <w:tcW w:type="dxa" w:w="311"/>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252"/>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22"/>
                  <w:tcBorders>
                    <w:top w:val="none" w:color="000000" w:sz="4"/>
                    <w:left w:val="single" w:color="000000" w:sz="4"/>
                    <w:bottom w:val="single" w:color="000000" w:sz="4"/>
                    <w:right w:val="single" w:color="000000" w:sz="4"/>
                  </w:tcBorders>
                  <w:vAlign w:val="top"/>
                </w:tcPr>
                <w:p>
                  <w:pPr>
                    <w:jc w:val="center"/>
                  </w:pPr>
                  <w:r>
                    <w:rPr>
                      <w:sz w:val="21"/>
                    </w:rPr>
                    <w:t>4</w:t>
                  </w:r>
                </w:p>
              </w:tc>
              <w:tc>
                <w:tcPr>
                  <w:tcW w:type="dxa" w:w="708"/>
                  <w:tcBorders>
                    <w:top w:val="none" w:color="000000" w:sz="4"/>
                    <w:left w:val="single" w:color="000000" w:sz="4"/>
                    <w:bottom w:val="single" w:color="000000" w:sz="4"/>
                    <w:right w:val="single" w:color="000000" w:sz="4"/>
                  </w:tcBorders>
                  <w:vAlign w:val="top"/>
                </w:tcPr>
                <w:p>
                  <w:pPr>
                    <w:jc w:val="center"/>
                  </w:pPr>
                  <w:r>
                    <w:rPr>
                      <w:sz w:val="21"/>
                    </w:rPr>
                    <w:t>雕塑室购置设备配套集成</w:t>
                  </w:r>
                </w:p>
              </w:tc>
              <w:tc>
                <w:tcPr>
                  <w:tcW w:type="dxa" w:w="4103"/>
                  <w:tcBorders>
                    <w:top w:val="none" w:color="000000" w:sz="4"/>
                    <w:left w:val="single" w:color="000000" w:sz="4"/>
                    <w:bottom w:val="single" w:color="000000" w:sz="4"/>
                    <w:right w:val="single" w:color="000000" w:sz="4"/>
                  </w:tcBorders>
                  <w:vAlign w:val="top"/>
                </w:tcPr>
                <w:p>
                  <w:pPr>
                    <w:jc w:val="left"/>
                  </w:pPr>
                  <w:r>
                    <w:rPr>
                      <w:sz w:val="21"/>
                    </w:rPr>
                    <w:t>雕塑室实训器械元配件配套集成</w:t>
                  </w:r>
                </w:p>
              </w:tc>
              <w:tc>
                <w:tcPr>
                  <w:tcW w:type="dxa" w:w="311"/>
                  <w:tcBorders>
                    <w:top w:val="none" w:color="000000" w:sz="4"/>
                    <w:left w:val="single" w:color="000000" w:sz="4"/>
                    <w:bottom w:val="single" w:color="000000" w:sz="4"/>
                    <w:right w:val="single" w:color="000000" w:sz="4"/>
                  </w:tcBorders>
                  <w:vAlign w:val="top"/>
                </w:tcPr>
                <w:p>
                  <w:pPr>
                    <w:jc w:val="center"/>
                  </w:pPr>
                  <w:r>
                    <w:rPr>
                      <w:sz w:val="21"/>
                    </w:rPr>
                    <w:t>项</w:t>
                  </w:r>
                </w:p>
              </w:tc>
              <w:tc>
                <w:tcPr>
                  <w:tcW w:type="dxa" w:w="252"/>
                  <w:tcBorders>
                    <w:top w:val="none" w:color="000000" w:sz="4"/>
                    <w:left w:val="single" w:color="000000" w:sz="4"/>
                    <w:bottom w:val="single" w:color="000000" w:sz="4"/>
                    <w:right w:val="single" w:color="000000" w:sz="4"/>
                  </w:tcBorders>
                  <w:vAlign w:val="top"/>
                </w:tcPr>
                <w:p>
                  <w:pPr>
                    <w:jc w:val="center"/>
                  </w:pPr>
                  <w:r>
                    <w:rPr>
                      <w:sz w:val="21"/>
                    </w:rPr>
                    <w:t>1</w:t>
                  </w:r>
                </w:p>
              </w:tc>
            </w:tr>
          </w:tbl>
          <w:p>
            <w:pPr>
              <w:jc w:val="left"/>
            </w:pPr>
            <w:r>
              <w:rPr>
                <w:sz w:val="24"/>
              </w:rPr>
              <w:t>（十五）、工艺美术艺术设计创意工场实训室</w:t>
            </w:r>
          </w:p>
          <w:tbl>
            <w:tblPr>
              <w:tblBorders>
                <w:top w:val="none" w:color="000000" w:sz="4"/>
                <w:left w:val="none" w:color="000000" w:sz="4"/>
                <w:bottom w:val="none" w:color="000000" w:sz="4"/>
                <w:right w:val="none" w:color="000000" w:sz="4"/>
                <w:insideH w:val="none"/>
                <w:insideV w:val="none"/>
              </w:tblBorders>
            </w:tblPr>
            <w:tblGrid>
              <w:gridCol w:w="205"/>
              <w:gridCol w:w="362"/>
              <w:gridCol w:w="4389"/>
              <w:gridCol w:w="315"/>
              <w:gridCol w:w="326"/>
            </w:tblGrid>
            <w:tr>
              <w:tc>
                <w:tcPr>
                  <w:tcW w:type="dxa" w:w="205"/>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362"/>
                  <w:tcBorders>
                    <w:top w:val="single" w:color="000000" w:sz="4"/>
                    <w:left w:val="single" w:color="000000" w:sz="4"/>
                    <w:bottom w:val="single" w:color="000000" w:sz="4"/>
                    <w:right w:val="single" w:color="000000" w:sz="4"/>
                  </w:tcBorders>
                  <w:vAlign w:val="top"/>
                </w:tcPr>
                <w:p>
                  <w:pPr>
                    <w:jc w:val="center"/>
                  </w:pPr>
                  <w:r>
                    <w:rPr>
                      <w:b/>
                      <w:sz w:val="21"/>
                    </w:rPr>
                    <w:t>名称</w:t>
                  </w:r>
                </w:p>
              </w:tc>
              <w:tc>
                <w:tcPr>
                  <w:tcW w:type="dxa" w:w="4389"/>
                  <w:tcBorders>
                    <w:top w:val="single" w:color="000000" w:sz="4"/>
                    <w:left w:val="single" w:color="000000" w:sz="4"/>
                    <w:bottom w:val="single" w:color="000000" w:sz="4"/>
                    <w:right w:val="single" w:color="000000" w:sz="4"/>
                  </w:tcBorders>
                  <w:vAlign w:val="top"/>
                </w:tcPr>
                <w:p>
                  <w:pPr>
                    <w:jc w:val="center"/>
                  </w:pPr>
                  <w:r>
                    <w:rPr>
                      <w:b/>
                      <w:sz w:val="21"/>
                    </w:rPr>
                    <w:t>参数</w:t>
                  </w:r>
                </w:p>
              </w:tc>
              <w:tc>
                <w:tcPr>
                  <w:tcW w:type="dxa" w:w="315"/>
                  <w:tcBorders>
                    <w:top w:val="single" w:color="000000" w:sz="4"/>
                    <w:left w:val="single" w:color="000000" w:sz="4"/>
                    <w:bottom w:val="single" w:color="000000" w:sz="4"/>
                    <w:right w:val="single" w:color="000000" w:sz="4"/>
                  </w:tcBorders>
                  <w:vAlign w:val="top"/>
                </w:tcPr>
                <w:p>
                  <w:pPr>
                    <w:jc w:val="center"/>
                  </w:pPr>
                  <w:r>
                    <w:rPr>
                      <w:b/>
                      <w:sz w:val="21"/>
                    </w:rPr>
                    <w:t>单位</w:t>
                  </w:r>
                </w:p>
              </w:tc>
              <w:tc>
                <w:tcPr>
                  <w:tcW w:type="dxa" w:w="326"/>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205"/>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62"/>
                  <w:tcBorders>
                    <w:top w:val="none" w:color="000000" w:sz="4"/>
                    <w:left w:val="single" w:color="000000" w:sz="4"/>
                    <w:bottom w:val="single" w:color="000000" w:sz="4"/>
                    <w:right w:val="single" w:color="000000" w:sz="4"/>
                  </w:tcBorders>
                  <w:vAlign w:val="top"/>
                </w:tcPr>
                <w:p>
                  <w:pPr>
                    <w:jc w:val="center"/>
                  </w:pPr>
                  <w:r>
                    <w:rPr>
                      <w:sz w:val="21"/>
                    </w:rPr>
                    <w:t>图形工作站</w:t>
                  </w:r>
                  <w:r>
                    <w:rPr>
                      <w:sz w:val="21"/>
                    </w:rPr>
                    <w:t>1</w:t>
                  </w:r>
                </w:p>
              </w:tc>
              <w:tc>
                <w:tcPr>
                  <w:tcW w:type="dxa" w:w="4389"/>
                  <w:tcBorders>
                    <w:top w:val="none" w:color="000000" w:sz="4"/>
                    <w:left w:val="single" w:color="000000" w:sz="4"/>
                    <w:bottom w:val="single" w:color="000000" w:sz="4"/>
                    <w:right w:val="single" w:color="000000" w:sz="4"/>
                  </w:tcBorders>
                  <w:vAlign w:val="top"/>
                </w:tcPr>
                <w:p>
                  <w:pPr>
                    <w:jc w:val="left"/>
                  </w:pPr>
                  <w:r>
                    <w:rPr>
                      <w:sz w:val="21"/>
                    </w:rPr>
                    <w:t>★</w:t>
                  </w:r>
                  <w:r>
                    <w:rPr>
                      <w:sz w:val="21"/>
                    </w:rPr>
                    <w:t>1.1</w:t>
                  </w:r>
                  <w:r>
                    <w:rPr>
                      <w:sz w:val="21"/>
                    </w:rPr>
                    <w:t>、</w:t>
                  </w:r>
                  <w:r>
                    <w:rPr>
                      <w:sz w:val="21"/>
                    </w:rPr>
                    <w:t>相当或优于十代</w:t>
                  </w:r>
                  <w:r>
                    <w:rPr>
                      <w:sz w:val="21"/>
                    </w:rPr>
                    <w:t>Intel i7</w:t>
                  </w:r>
                  <w:r>
                    <w:rPr>
                      <w:sz w:val="21"/>
                    </w:rPr>
                    <w:t>处理器</w:t>
                  </w:r>
                  <w:r>
                    <w:rPr>
                      <w:sz w:val="21"/>
                    </w:rPr>
                    <w:t xml:space="preserve"> </w:t>
                  </w:r>
                  <w:r>
                    <w:rPr>
                      <w:sz w:val="21"/>
                    </w:rPr>
                    <w:t>,16M高速缓存缓存，8 核</w:t>
                  </w:r>
                </w:p>
                <w:p>
                  <w:pPr>
                    <w:jc w:val="left"/>
                  </w:pPr>
                  <w:r>
                    <w:rPr>
                      <w:sz w:val="21"/>
                    </w:rPr>
                    <w:t>▲</w:t>
                  </w:r>
                  <w:r>
                    <w:rPr>
                      <w:sz w:val="21"/>
                    </w:rPr>
                    <w:t>1.2、主板:</w:t>
                  </w:r>
                  <w:r>
                    <w:rPr>
                      <w:sz w:val="21"/>
                    </w:rPr>
                    <w:t>相当或优于英特尔</w:t>
                  </w:r>
                  <w:r>
                    <w:rPr>
                      <w:sz w:val="21"/>
                    </w:rPr>
                    <w:t>® W480</w:t>
                  </w:r>
                  <w:r>
                    <w:rPr>
                      <w:sz w:val="21"/>
                    </w:rPr>
                    <w:t>芯片组</w:t>
                  </w:r>
                </w:p>
                <w:p>
                  <w:pPr>
                    <w:jc w:val="left"/>
                  </w:pPr>
                  <w:r>
                    <w:rPr>
                      <w:sz w:val="21"/>
                    </w:rPr>
                    <w:t>1.3、最高可配4个2.5 英寸或者3个3.5英寸，2个M.2 SSD插槽</w:t>
                  </w:r>
                </w:p>
                <w:p>
                  <w:pPr>
                    <w:jc w:val="left"/>
                  </w:pPr>
                  <w:r>
                    <w:rPr>
                      <w:sz w:val="21"/>
                    </w:rPr>
                    <w:t>可支持一个超高速驱动器（</w:t>
                  </w:r>
                  <w:r>
                    <w:rPr>
                      <w:sz w:val="21"/>
                    </w:rPr>
                    <w:t>x8）的PCI-e硬盘，本次配置1块3.5 英寸 1TB 7200rpm SATA +256G SSD</w:t>
                  </w:r>
                  <w:r>
                    <w:rPr>
                      <w:sz w:val="21"/>
                    </w:rPr>
                    <w:t>硬盘或优于</w:t>
                  </w:r>
                </w:p>
                <w:p>
                  <w:pPr>
                    <w:jc w:val="left"/>
                  </w:pPr>
                  <w:r>
                    <w:rPr>
                      <w:sz w:val="21"/>
                    </w:rPr>
                    <w:t>▲</w:t>
                  </w:r>
                  <w:r>
                    <w:rPr>
                      <w:sz w:val="21"/>
                    </w:rPr>
                    <w:t>1.4、内存：</w:t>
                  </w:r>
                  <w:r>
                    <w:rPr>
                      <w:sz w:val="21"/>
                    </w:rPr>
                    <w:t>≥16G</w:t>
                  </w:r>
                  <w:r>
                    <w:rPr>
                      <w:sz w:val="21"/>
                    </w:rPr>
                    <w:t xml:space="preserve"> </w:t>
                  </w:r>
                  <w:r>
                    <w:rPr>
                      <w:sz w:val="21"/>
                    </w:rPr>
                    <w:t>DDR4 2933MHz，可支持内存硬件防错技术，标记坏死扇区，通过重启移除故障延长使用寿命。</w:t>
                  </w:r>
                  <w:r>
                    <w:rPr>
                      <w:sz w:val="21"/>
                    </w:rPr>
                    <w:t>（</w:t>
                  </w:r>
                  <w:r>
                    <w:rPr>
                      <w:sz w:val="21"/>
                    </w:rPr>
                    <w:t>提供相关证明材料</w:t>
                  </w:r>
                  <w:r>
                    <w:rPr>
                      <w:sz w:val="21"/>
                    </w:rPr>
                    <w:t>）</w:t>
                  </w:r>
                </w:p>
                <w:p>
                  <w:pPr>
                    <w:jc w:val="left"/>
                  </w:pPr>
                  <w:r>
                    <w:rPr>
                      <w:sz w:val="21"/>
                    </w:rPr>
                    <w:t>★</w:t>
                  </w:r>
                  <w:r>
                    <w:rPr>
                      <w:sz w:val="21"/>
                    </w:rPr>
                    <w:t>1.5、专业显卡：</w:t>
                  </w:r>
                  <w:r>
                    <w:rPr>
                      <w:sz w:val="21"/>
                    </w:rPr>
                    <w:t>≥4GB独立显卡</w:t>
                  </w:r>
                  <w:r>
                    <w:rPr>
                      <w:sz w:val="21"/>
                    </w:rPr>
                    <w:t>。</w:t>
                  </w:r>
                </w:p>
                <w:p>
                  <w:pPr>
                    <w:jc w:val="left"/>
                  </w:pPr>
                  <w:r>
                    <w:rPr>
                      <w:sz w:val="21"/>
                    </w:rPr>
                    <w:t>▲</w:t>
                  </w:r>
                  <w:r>
                    <w:rPr>
                      <w:sz w:val="21"/>
                    </w:rPr>
                    <w:t>1.6、主机电源：</w:t>
                  </w:r>
                  <w:r>
                    <w:rPr>
                      <w:sz w:val="21"/>
                    </w:rPr>
                    <w:t>能效高达</w:t>
                  </w:r>
                  <w:r>
                    <w:rPr>
                      <w:sz w:val="21"/>
                    </w:rPr>
                    <w:t>85%（能通过铜牌认证</w:t>
                  </w:r>
                  <w:r>
                    <w:rPr>
                      <w:sz w:val="21"/>
                    </w:rPr>
                    <w:t>，电源自带故障诊断灯，带自检开关）</w:t>
                  </w:r>
                </w:p>
                <w:p>
                  <w:pPr>
                    <w:jc w:val="left"/>
                  </w:pPr>
                  <w:r>
                    <w:rPr>
                      <w:sz w:val="21"/>
                    </w:rPr>
                    <w:t>1.7、接口和插槽：11个 USB 端口（6*USB3.1，并自带一个快速充电USB接口，包括Type-c接口），2个 半高PCIe x16 ，2个 半高PCIe x1，1个用于可选无线网卡的M.2 2230，一个用于存储硬盘的M.2 2280。</w:t>
                  </w:r>
                </w:p>
                <w:p>
                  <w:pPr>
                    <w:jc w:val="left"/>
                  </w:pPr>
                  <w:r>
                    <w:rPr>
                      <w:sz w:val="21"/>
                    </w:rPr>
                    <w:t>1.8、网络同传：网络同传+硬盘保护。</w:t>
                  </w:r>
                </w:p>
                <w:p>
                  <w:pPr>
                    <w:jc w:val="left"/>
                  </w:pPr>
                  <w:r>
                    <w:rPr>
                      <w:sz w:val="21"/>
                    </w:rPr>
                    <w:t>1.9、键盘与鼠标  标准配置USB抗菌键盘与鼠标，抗菌率不低于99%。</w:t>
                  </w:r>
                </w:p>
                <w:p>
                  <w:pPr>
                    <w:jc w:val="left"/>
                  </w:pPr>
                  <w:r>
                    <w:rPr>
                      <w:sz w:val="21"/>
                    </w:rPr>
                    <w:t>1.10、显示器：同一品牌23.8"宽屏</w:t>
                  </w:r>
                  <w:r>
                    <w:rPr>
                      <w:sz w:val="21"/>
                    </w:rPr>
                    <w:t>或优于</w:t>
                  </w:r>
                  <w:r>
                    <w:rPr>
                      <w:sz w:val="21"/>
                    </w:rPr>
                    <w:t>，</w:t>
                  </w:r>
                  <w:r>
                    <w:rPr>
                      <w:sz w:val="21"/>
                    </w:rPr>
                    <w:t>16:9 IPS面板，1920x1080分辨率</w:t>
                  </w:r>
                  <w:r>
                    <w:rPr>
                      <w:sz w:val="21"/>
                    </w:rPr>
                    <w:t>或优于</w:t>
                  </w:r>
                  <w:r>
                    <w:rPr>
                      <w:sz w:val="21"/>
                    </w:rPr>
                    <w:t>，</w:t>
                  </w:r>
                  <w:r>
                    <w:rPr>
                      <w:sz w:val="21"/>
                    </w:rPr>
                    <w:t>可视角度</w:t>
                  </w:r>
                  <w:r>
                    <w:rPr>
                      <w:sz w:val="21"/>
                    </w:rPr>
                    <w:t>≥</w:t>
                  </w:r>
                  <w:r>
                    <w:rPr>
                      <w:sz w:val="21"/>
                    </w:rPr>
                    <w:t>178°，</w:t>
                  </w:r>
                  <w:r>
                    <w:rPr>
                      <w:sz w:val="21"/>
                    </w:rPr>
                    <w:t>至多</w:t>
                  </w:r>
                  <w:r>
                    <w:rPr>
                      <w:sz w:val="21"/>
                    </w:rPr>
                    <w:t>5ms响应，低蓝光调节，升降调节支架，可轴心左右旋转。</w:t>
                  </w:r>
                </w:p>
                <w:p>
                  <w:pPr>
                    <w:jc w:val="left"/>
                  </w:pPr>
                  <w:r>
                    <w:rPr>
                      <w:sz w:val="21"/>
                    </w:rPr>
                    <w:t>1.11、网络同传及硬盘保护功能性：</w:t>
                  </w:r>
                </w:p>
                <w:p>
                  <w:pPr>
                    <w:jc w:val="left"/>
                  </w:pPr>
                  <w:r>
                    <w:rPr>
                      <w:sz w:val="21"/>
                    </w:rPr>
                    <w:t>1.11.1、支持混合硬盘保护，实现跨硬盘安装多系统。</w:t>
                  </w:r>
                </w:p>
                <w:p>
                  <w:pPr>
                    <w:jc w:val="left"/>
                  </w:pPr>
                  <w:r>
                    <w:rPr>
                      <w:sz w:val="21"/>
                    </w:rPr>
                    <w:t>1.11.2、支持双硬盘保护，实现网络同传。</w:t>
                  </w:r>
                </w:p>
                <w:p>
                  <w:pPr>
                    <w:jc w:val="left"/>
                  </w:pPr>
                  <w:r>
                    <w:rPr>
                      <w:sz w:val="21"/>
                    </w:rPr>
                    <w:t>1.11.3、支持虚拟磁盘，防止数据丢失，通过虚拟磁盘功能，加载进度数据，可以拷贝出来。</w:t>
                  </w:r>
                </w:p>
                <w:p>
                  <w:pPr>
                    <w:jc w:val="left"/>
                  </w:pPr>
                  <w:r>
                    <w:rPr>
                      <w:sz w:val="21"/>
                    </w:rPr>
                    <w:t>1.11.4、支持GPT/MBR系统0秒切换不需要设置BIOS直接进入。</w:t>
                  </w:r>
                </w:p>
                <w:p>
                  <w:pPr>
                    <w:jc w:val="left"/>
                  </w:pPr>
                  <w:r>
                    <w:rPr>
                      <w:sz w:val="21"/>
                    </w:rPr>
                    <w:t>1.11.5、最多支持创建64个操作系统，可隐藏操作系统不让使用，支持NTFS/FAT32资料盘自动清除，支持共用分区保护。</w:t>
                  </w:r>
                </w:p>
                <w:p>
                  <w:pPr>
                    <w:jc w:val="left"/>
                  </w:pPr>
                  <w:r>
                    <w:rPr>
                      <w:sz w:val="21"/>
                    </w:rPr>
                    <w:t>1.11.6、可控制学生机是否能上网，或者设定机房内计算机内外网的访问黑白名单，提供良好教学环境。</w:t>
                  </w:r>
                </w:p>
                <w:p>
                  <w:pPr>
                    <w:jc w:val="left"/>
                  </w:pPr>
                  <w:r>
                    <w:rPr>
                      <w:sz w:val="21"/>
                    </w:rPr>
                    <w:t>1.11.7、可远程查看学生机屏幕，对学生进行实时指导。</w:t>
                  </w:r>
                </w:p>
                <w:p>
                  <w:pPr>
                    <w:jc w:val="left"/>
                  </w:pPr>
                  <w:r>
                    <w:rPr>
                      <w:sz w:val="21"/>
                    </w:rPr>
                    <w:t>1.11.8、支持远程屏幕消息广播，及时通知消息，在练习，考试时进行提醒。</w:t>
                  </w:r>
                </w:p>
                <w:p>
                  <w:pPr>
                    <w:jc w:val="left"/>
                  </w:pPr>
                  <w:r>
                    <w:rPr>
                      <w:sz w:val="21"/>
                    </w:rPr>
                    <w:t>1.11.9、支持因病毒攻击、以外文件删除、操作系统损坏/软件损坏、硬件故障造成的数据丢失备份和恢复</w:t>
                  </w:r>
                </w:p>
                <w:p>
                  <w:pPr>
                    <w:jc w:val="left"/>
                  </w:pPr>
                  <w:r>
                    <w:rPr>
                      <w:sz w:val="21"/>
                    </w:rPr>
                    <w:t>▲</w:t>
                  </w:r>
                  <w:r>
                    <w:rPr>
                      <w:sz w:val="21"/>
                    </w:rPr>
                    <w:t>1.12、产品能通过3C认证（提供相关证明材料）</w:t>
                  </w:r>
                </w:p>
              </w:tc>
              <w:tc>
                <w:tcPr>
                  <w:tcW w:type="dxa" w:w="31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326"/>
                  <w:tcBorders>
                    <w:top w:val="none" w:color="000000" w:sz="4"/>
                    <w:left w:val="single" w:color="000000" w:sz="4"/>
                    <w:bottom w:val="single" w:color="000000" w:sz="4"/>
                    <w:right w:val="single" w:color="000000" w:sz="4"/>
                  </w:tcBorders>
                  <w:vAlign w:val="top"/>
                </w:tcPr>
                <w:p>
                  <w:pPr>
                    <w:jc w:val="center"/>
                  </w:pPr>
                  <w:r>
                    <w:rPr>
                      <w:sz w:val="21"/>
                    </w:rPr>
                    <w:t>1</w:t>
                  </w:r>
                </w:p>
              </w:tc>
            </w:tr>
            <w:tr>
              <w:tc>
                <w:tcPr>
                  <w:tcW w:type="dxa" w:w="205"/>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62"/>
                  <w:tcBorders>
                    <w:top w:val="none" w:color="000000" w:sz="4"/>
                    <w:left w:val="single" w:color="000000" w:sz="4"/>
                    <w:bottom w:val="single" w:color="000000" w:sz="4"/>
                    <w:right w:val="single" w:color="000000" w:sz="4"/>
                  </w:tcBorders>
                  <w:vAlign w:val="top"/>
                </w:tcPr>
                <w:p>
                  <w:pPr>
                    <w:jc w:val="center"/>
                  </w:pPr>
                  <w:r>
                    <w:rPr>
                      <w:sz w:val="21"/>
                    </w:rPr>
                    <w:t>图形工作站</w:t>
                  </w:r>
                  <w:r>
                    <w:rPr>
                      <w:sz w:val="21"/>
                    </w:rPr>
                    <w:t>2</w:t>
                  </w:r>
                </w:p>
              </w:tc>
              <w:tc>
                <w:tcPr>
                  <w:tcW w:type="dxa" w:w="4389"/>
                  <w:tcBorders>
                    <w:top w:val="none" w:color="000000" w:sz="4"/>
                    <w:left w:val="single" w:color="000000" w:sz="4"/>
                    <w:bottom w:val="single" w:color="000000" w:sz="4"/>
                    <w:right w:val="single" w:color="000000" w:sz="4"/>
                  </w:tcBorders>
                  <w:vAlign w:val="top"/>
                </w:tcPr>
                <w:p>
                  <w:pPr>
                    <w:jc w:val="left"/>
                  </w:pPr>
                  <w:r>
                    <w:rPr>
                      <w:sz w:val="21"/>
                    </w:rPr>
                    <w:t>★</w:t>
                  </w:r>
                  <w:r>
                    <w:rPr>
                      <w:sz w:val="21"/>
                    </w:rPr>
                    <w:t>1.1</w:t>
                  </w:r>
                  <w:r>
                    <w:rPr>
                      <w:sz w:val="21"/>
                    </w:rPr>
                    <w:t>、</w:t>
                  </w:r>
                  <w:r>
                    <w:rPr>
                      <w:sz w:val="21"/>
                    </w:rPr>
                    <w:t>相当或优于十代</w:t>
                  </w:r>
                  <w:r>
                    <w:rPr>
                      <w:sz w:val="21"/>
                    </w:rPr>
                    <w:t>Intel i5</w:t>
                  </w:r>
                  <w:r>
                    <w:rPr>
                      <w:sz w:val="21"/>
                    </w:rPr>
                    <w:t>处理器</w:t>
                  </w:r>
                  <w:r>
                    <w:rPr>
                      <w:sz w:val="21"/>
                    </w:rPr>
                    <w:t xml:space="preserve"> </w:t>
                  </w:r>
                  <w:r>
                    <w:rPr>
                      <w:sz w:val="21"/>
                    </w:rPr>
                    <w:t>,16M高速缓存缓存，8 核</w:t>
                  </w:r>
                </w:p>
                <w:p>
                  <w:pPr>
                    <w:jc w:val="left"/>
                  </w:pPr>
                  <w:r>
                    <w:rPr>
                      <w:sz w:val="21"/>
                    </w:rPr>
                    <w:t>▲</w:t>
                  </w:r>
                  <w:r>
                    <w:rPr>
                      <w:sz w:val="21"/>
                    </w:rPr>
                    <w:t>1.2、主板:</w:t>
                  </w:r>
                  <w:r>
                    <w:rPr>
                      <w:sz w:val="21"/>
                    </w:rPr>
                    <w:t>相当或优于英特尔</w:t>
                  </w:r>
                  <w:r>
                    <w:rPr>
                      <w:sz w:val="21"/>
                    </w:rPr>
                    <w:t>®</w:t>
                  </w:r>
                  <w:r>
                    <w:rPr>
                      <w:sz w:val="21"/>
                    </w:rPr>
                    <w:t>芯片组</w:t>
                  </w:r>
                </w:p>
                <w:p>
                  <w:pPr>
                    <w:jc w:val="left"/>
                  </w:pPr>
                  <w:r>
                    <w:rPr>
                      <w:sz w:val="21"/>
                    </w:rPr>
                    <w:t>1.3、最高可配4个2.5 英寸或者3个3.5英寸，2个M.2 SSD插槽</w:t>
                  </w:r>
                </w:p>
                <w:p>
                  <w:pPr>
                    <w:jc w:val="left"/>
                  </w:pPr>
                  <w:r>
                    <w:rPr>
                      <w:sz w:val="21"/>
                    </w:rPr>
                    <w:t>可支持一个超高速驱动器（</w:t>
                  </w:r>
                  <w:r>
                    <w:rPr>
                      <w:sz w:val="21"/>
                    </w:rPr>
                    <w:t>x8）的PCI-e硬盘，本次配置1个256 SSD +1T机械</w:t>
                  </w:r>
                  <w:r>
                    <w:rPr>
                      <w:sz w:val="21"/>
                    </w:rPr>
                    <w:t>硬盘或优于</w:t>
                  </w:r>
                </w:p>
                <w:p>
                  <w:pPr>
                    <w:jc w:val="left"/>
                  </w:pPr>
                  <w:r>
                    <w:rPr>
                      <w:sz w:val="21"/>
                    </w:rPr>
                    <w:t>▲</w:t>
                  </w:r>
                  <w:r>
                    <w:rPr>
                      <w:sz w:val="21"/>
                    </w:rPr>
                    <w:t>1.4、内存：</w:t>
                  </w:r>
                  <w:r>
                    <w:rPr>
                      <w:sz w:val="21"/>
                    </w:rPr>
                    <w:t>≥8G DDR4 2933MHz</w:t>
                  </w:r>
                  <w:r>
                    <w:rPr>
                      <w:sz w:val="21"/>
                    </w:rPr>
                    <w:t>，可支持内存硬件防错技术，标记坏死扇区，通过重启移除故障延长使用寿命。</w:t>
                  </w:r>
                </w:p>
                <w:p>
                  <w:pPr>
                    <w:jc w:val="left"/>
                  </w:pPr>
                  <w:r>
                    <w:rPr>
                      <w:sz w:val="21"/>
                    </w:rPr>
                    <w:t>★</w:t>
                  </w:r>
                  <w:r>
                    <w:rPr>
                      <w:sz w:val="21"/>
                    </w:rPr>
                    <w:t>1.5、专业显卡：</w:t>
                  </w:r>
                  <w:r>
                    <w:rPr>
                      <w:sz w:val="21"/>
                    </w:rPr>
                    <w:t>≥4GB独立显卡</w:t>
                  </w:r>
                  <w:r>
                    <w:rPr>
                      <w:sz w:val="21"/>
                    </w:rPr>
                    <w:t>。</w:t>
                  </w:r>
                </w:p>
                <w:p>
                  <w:pPr>
                    <w:jc w:val="left"/>
                  </w:pPr>
                  <w:r>
                    <w:rPr>
                      <w:sz w:val="21"/>
                    </w:rPr>
                    <w:t>▲</w:t>
                  </w:r>
                  <w:r>
                    <w:rPr>
                      <w:sz w:val="21"/>
                    </w:rPr>
                    <w:t>1.6、主机电源：</w:t>
                  </w:r>
                  <w:r>
                    <w:rPr>
                      <w:sz w:val="21"/>
                    </w:rPr>
                    <w:t>能效高达</w:t>
                  </w:r>
                  <w:r>
                    <w:rPr>
                      <w:sz w:val="21"/>
                    </w:rPr>
                    <w:t>85%（能通过铜牌认证</w:t>
                  </w:r>
                  <w:r>
                    <w:rPr>
                      <w:sz w:val="21"/>
                    </w:rPr>
                    <w:t>，电源自带故障诊断灯，带自检开关）</w:t>
                  </w:r>
                </w:p>
                <w:p>
                  <w:pPr>
                    <w:jc w:val="left"/>
                  </w:pPr>
                  <w:r>
                    <w:rPr>
                      <w:sz w:val="21"/>
                    </w:rPr>
                    <w:t>1.7、接口和插槽：11个 USB 端口（6*USB3.1，并自带一个快速充电USB接口，包括Type-c接口），2个 半高PCIe x16 ，2个 半高PCIe x1，1个用于可选无线网卡的M.2 2230，一个用于存储硬盘的M.2 2280。</w:t>
                  </w:r>
                </w:p>
                <w:p>
                  <w:pPr>
                    <w:jc w:val="left"/>
                  </w:pPr>
                  <w:r>
                    <w:rPr>
                      <w:sz w:val="21"/>
                    </w:rPr>
                    <w:t>1.8、网络同传：网络同传+硬盘保护。</w:t>
                  </w:r>
                </w:p>
                <w:p>
                  <w:pPr>
                    <w:jc w:val="left"/>
                  </w:pPr>
                  <w:r>
                    <w:rPr>
                      <w:sz w:val="21"/>
                    </w:rPr>
                    <w:t>1.9、键盘与鼠标  标准配置USB抗菌键盘与鼠标，抗菌率不低于99%。</w:t>
                  </w:r>
                </w:p>
                <w:p>
                  <w:pPr>
                    <w:jc w:val="left"/>
                  </w:pPr>
                  <w:r>
                    <w:rPr>
                      <w:sz w:val="21"/>
                    </w:rPr>
                    <w:t>1.10、显示器：同一品牌23.8"宽屏</w:t>
                  </w:r>
                  <w:r>
                    <w:rPr>
                      <w:sz w:val="21"/>
                    </w:rPr>
                    <w:t>或优于</w:t>
                  </w:r>
                  <w:r>
                    <w:rPr>
                      <w:sz w:val="21"/>
                    </w:rPr>
                    <w:t>，</w:t>
                  </w:r>
                  <w:r>
                    <w:rPr>
                      <w:sz w:val="21"/>
                    </w:rPr>
                    <w:t>16:9 IPS面板，1920x1080分辨率</w:t>
                  </w:r>
                  <w:r>
                    <w:rPr>
                      <w:sz w:val="21"/>
                    </w:rPr>
                    <w:t>或优于</w:t>
                  </w:r>
                  <w:r>
                    <w:rPr>
                      <w:sz w:val="21"/>
                    </w:rPr>
                    <w:t>，</w:t>
                  </w:r>
                  <w:r>
                    <w:rPr>
                      <w:sz w:val="21"/>
                    </w:rPr>
                    <w:t>可视角度</w:t>
                  </w:r>
                  <w:r>
                    <w:rPr>
                      <w:sz w:val="21"/>
                    </w:rPr>
                    <w:t>≥</w:t>
                  </w:r>
                  <w:r>
                    <w:rPr>
                      <w:sz w:val="21"/>
                    </w:rPr>
                    <w:t>178°，</w:t>
                  </w:r>
                  <w:r>
                    <w:rPr>
                      <w:sz w:val="21"/>
                    </w:rPr>
                    <w:t>至多</w:t>
                  </w:r>
                  <w:r>
                    <w:rPr>
                      <w:sz w:val="21"/>
                    </w:rPr>
                    <w:t>5ms响应，低蓝光调节，升降调节支架，可轴心左右旋转。</w:t>
                  </w:r>
                </w:p>
                <w:p>
                  <w:pPr>
                    <w:jc w:val="left"/>
                  </w:pPr>
                  <w:r>
                    <w:rPr>
                      <w:sz w:val="21"/>
                    </w:rPr>
                    <w:t>1.11、网络同传及硬盘保护功能性：</w:t>
                  </w:r>
                </w:p>
                <w:p>
                  <w:pPr>
                    <w:jc w:val="left"/>
                  </w:pPr>
                  <w:r>
                    <w:rPr>
                      <w:sz w:val="21"/>
                    </w:rPr>
                    <w:t>1.11.1、支持混合硬盘保护，实现跨硬盘安装多系统。</w:t>
                  </w:r>
                </w:p>
                <w:p>
                  <w:pPr>
                    <w:jc w:val="left"/>
                  </w:pPr>
                  <w:r>
                    <w:rPr>
                      <w:sz w:val="21"/>
                    </w:rPr>
                    <w:t>1.11.2、支持双硬盘保护，实现网络同传。</w:t>
                  </w:r>
                </w:p>
                <w:p>
                  <w:pPr>
                    <w:jc w:val="left"/>
                  </w:pPr>
                  <w:r>
                    <w:rPr>
                      <w:sz w:val="21"/>
                    </w:rPr>
                    <w:t>1.11.3、支持虚拟磁盘，防止数据丢失，通过虚拟磁盘功能，加载进度数据，可以拷贝出来。</w:t>
                  </w:r>
                </w:p>
                <w:p>
                  <w:pPr>
                    <w:jc w:val="left"/>
                  </w:pPr>
                  <w:r>
                    <w:rPr>
                      <w:sz w:val="21"/>
                    </w:rPr>
                    <w:t>1.11.4、支持GPT/MBR系统0秒切换不需要设置BIOS直接进入。</w:t>
                  </w:r>
                </w:p>
                <w:p>
                  <w:pPr>
                    <w:jc w:val="left"/>
                  </w:pPr>
                  <w:r>
                    <w:rPr>
                      <w:sz w:val="21"/>
                    </w:rPr>
                    <w:t>1.11.5、最多支持创建64个操作系统，可隐藏操作系统不让使用，支持NTFS/FAT32资料盘自动清除，支持共用分区保护。</w:t>
                  </w:r>
                </w:p>
                <w:p>
                  <w:pPr>
                    <w:jc w:val="left"/>
                  </w:pPr>
                  <w:r>
                    <w:rPr>
                      <w:sz w:val="21"/>
                    </w:rPr>
                    <w:t>1.11.6、可控制学生机是否能上网，或者设定机房内计算机内外网的访问黑白名单，提供良好教学环境。</w:t>
                  </w:r>
                </w:p>
                <w:p>
                  <w:pPr>
                    <w:jc w:val="left"/>
                  </w:pPr>
                  <w:r>
                    <w:rPr>
                      <w:sz w:val="21"/>
                    </w:rPr>
                    <w:t>1.11.7、可远程查看学生机屏幕，对学生进行实时指导。</w:t>
                  </w:r>
                </w:p>
                <w:p>
                  <w:pPr>
                    <w:jc w:val="left"/>
                  </w:pPr>
                  <w:r>
                    <w:rPr>
                      <w:sz w:val="21"/>
                    </w:rPr>
                    <w:t>1.11.8、支持远程屏幕消息广播，及时通知消息，在练习，考试时进行提醒。</w:t>
                  </w:r>
                </w:p>
                <w:p>
                  <w:pPr>
                    <w:jc w:val="left"/>
                  </w:pPr>
                  <w:r>
                    <w:rPr>
                      <w:sz w:val="21"/>
                    </w:rPr>
                    <w:t>1.11.9、支持因病毒攻击、以外文件删除、操作系统损坏/软件损坏、硬件故障造成的数据丢失备份和恢复</w:t>
                  </w:r>
                </w:p>
                <w:p>
                  <w:pPr>
                    <w:jc w:val="left"/>
                  </w:pPr>
                  <w:r>
                    <w:rPr>
                      <w:sz w:val="21"/>
                    </w:rPr>
                    <w:t>▲</w:t>
                  </w:r>
                  <w:r>
                    <w:rPr>
                      <w:sz w:val="21"/>
                    </w:rPr>
                    <w:t>1.12、产品能通过3C认证（提供相关证明材料）</w:t>
                  </w:r>
                </w:p>
              </w:tc>
              <w:tc>
                <w:tcPr>
                  <w:tcW w:type="dxa" w:w="315"/>
                  <w:tcBorders>
                    <w:top w:val="none" w:color="000000" w:sz="4"/>
                    <w:left w:val="single" w:color="000000" w:sz="4"/>
                    <w:bottom w:val="single" w:color="000000" w:sz="4"/>
                    <w:right w:val="single" w:color="000000" w:sz="4"/>
                  </w:tcBorders>
                  <w:vAlign w:val="top"/>
                </w:tcPr>
                <w:p>
                  <w:pPr>
                    <w:jc w:val="center"/>
                  </w:pPr>
                  <w:r>
                    <w:rPr>
                      <w:sz w:val="21"/>
                    </w:rPr>
                    <w:t>台</w:t>
                  </w:r>
                </w:p>
              </w:tc>
              <w:tc>
                <w:tcPr>
                  <w:tcW w:type="dxa" w:w="326"/>
                  <w:tcBorders>
                    <w:top w:val="none" w:color="000000" w:sz="4"/>
                    <w:left w:val="single" w:color="000000" w:sz="4"/>
                    <w:bottom w:val="single" w:color="000000" w:sz="4"/>
                    <w:right w:val="single" w:color="000000" w:sz="4"/>
                  </w:tcBorders>
                  <w:vAlign w:val="top"/>
                </w:tcPr>
                <w:p>
                  <w:pPr>
                    <w:jc w:val="center"/>
                  </w:pPr>
                  <w:r>
                    <w:rPr>
                      <w:sz w:val="21"/>
                    </w:rPr>
                    <w:t>50</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1.采购代理机构：本项目是指广东恒胜建设监理有限公司，负责整个采购活动的组织，依法负责编制和发布招标文件，对招标文件拥有最终的解释权，不以任何身份出任评标委员会成员。</w:t>
      </w:r>
    </w:p>
    <w:p>
      <w:pPr>
        <w:ind w:firstLine="480"/>
      </w:pPr>
      <w:r>
        <w:rPr/>
        <w:t>2.采购人：本项目是指</w:t>
      </w:r>
      <w:r>
        <w:rPr/>
        <w:t>汕头市澄海职业技术教育中心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人民币壹万玖仟叁佰元整（¥19300.00元）成交服务费支付方式：一次性以电汇、支票或现金等形式支付（收款人：广东恒胜建设监理有限公司；开户银行：建设银行澄海支行；银行帐户：44050165010100001549），具体详见项目委托代理协议书。</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；请各投标人在投标文件递交截止时间前按须知前附表规定的金额递交至</w:t>
      </w:r>
      <w:r>
        <w:rPr/>
        <w:t>广东恒胜建设监理有限公司</w:t>
      </w:r>
      <w:r>
        <w:rPr/>
        <w:t>，到账情况以开标时</w:t>
      </w:r>
      <w:r>
        <w:rPr/>
        <w:t>广东恒胜建设监理有限公司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汕头市政府门户网站（www.shantou.gov.cn）、中国采购与招标(www.chinabidding.com.cn)、中国财经报（www.cfen.com.cn）、广东恒胜建设监理有限公司网(http://www.gdhsjl.cn/)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汕头市政府门户网站（www.shantou.gov.cn）、中国采购与招标(www.chinabidding.com.cn)、中国财经报（www.cfen.com.cn）、广东恒胜建设监理有限公司网(http://www.gdhsjl.cn/)</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林女士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高水平中职学校工艺美术专业群暨双精准示范专业建设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广东恒胜建设监理有限公司</w:t>
      </w:r>
      <w:r>
        <w:rPr/>
        <w:t>统一对外发布。</w:t>
      </w:r>
    </w:p>
    <w:p>
      <w:pPr>
        <w:ind w:firstLine="480"/>
      </w:pPr>
      <w:r>
        <w:rPr/>
        <w:t>（2）对</w:t>
      </w:r>
      <w:r>
        <w:rPr/>
        <w:t>广东恒胜建设监理有限公司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采购包1（高水平中职学校工艺美术专业群暨双精准示范专业建设项目）：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采购包1（高水平中职学校工艺美术专业群暨双精准示范专业建设项目）：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提供有效的营业执照或事业法人登记证等相关证明。</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提供2020年度或2021年度经会计师事务所出具的财务审计报告，或2022年基本开户行出具的资信证明。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供应商必须符合法律、行政法规规定的其他条件。</w:t>
            </w:r>
          </w:p>
        </w:tc>
      </w:tr>
      <w:tr>
        <w:tc>
          <w:tcPr>
            <w:tcW w:type="dxa" w:w="890"/>
          </w:tcPr>
          <w:p>
            <w:r>
              <w:rPr/>
              <w:t>8</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9</w:t>
            </w:r>
          </w:p>
        </w:tc>
        <w:tc>
          <w:tcPr>
            <w:tcW w:type="dxa" w:w="3178"/>
          </w:tcPr>
          <w:p>
            <w:r>
              <w:rPr/>
              <w:t>落实政府采购政策需满足的资格要求</w:t>
            </w:r>
          </w:p>
        </w:tc>
        <w:tc>
          <w:tcPr>
            <w:tcW w:type="dxa" w:w="4238"/>
          </w:tcPr>
          <w:p>
            <w:r>
              <w:rPr/>
              <w:t>无</w:t>
            </w:r>
          </w:p>
        </w:tc>
      </w:tr>
    </w:tbl>
    <w:p/>
    <w:p>
      <w:pPr>
        <w:ind w:firstLine="480"/>
      </w:pPr>
      <w:r>
        <w:rPr/>
        <w:t>表二符合性审查表：</w:t>
      </w:r>
    </w:p>
    <w:p>
      <w:pPr>
        <w:ind w:firstLine="480"/>
      </w:pPr>
    </w:p>
    <w:p/>
    <w:p>
      <w:r>
        <w:rPr/>
        <w:t>采购包1（高水平中职学校工艺美术专业群暨双精准示范专业建设项目）：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投标报价在本项目报价范围内；</w:t>
            </w:r>
          </w:p>
        </w:tc>
      </w:tr>
      <w:tr>
        <w:tc>
          <w:tcPr>
            <w:tcW w:type="dxa" w:w="890"/>
          </w:tcPr>
          <w:p>
            <w:r>
              <w:rPr/>
              <w:t>2</w:t>
            </w:r>
          </w:p>
        </w:tc>
        <w:tc>
          <w:tcPr>
            <w:tcW w:type="dxa" w:w="3178"/>
          </w:tcPr>
          <w:p>
            <w:r>
              <w:rPr/>
              <w:t>符合性要求</w:t>
            </w:r>
          </w:p>
        </w:tc>
        <w:tc>
          <w:tcPr>
            <w:tcW w:type="dxa" w:w="4238"/>
          </w:tcPr>
          <w:p>
            <w:r>
              <w:rPr/>
              <w:t>招标文件明示盖公章处有加盖公章；</w:t>
            </w:r>
          </w:p>
        </w:tc>
      </w:tr>
      <w:tr>
        <w:tc>
          <w:tcPr>
            <w:tcW w:type="dxa" w:w="890"/>
          </w:tcPr>
          <w:p>
            <w:r>
              <w:rPr/>
              <w:t>3</w:t>
            </w:r>
          </w:p>
        </w:tc>
        <w:tc>
          <w:tcPr>
            <w:tcW w:type="dxa" w:w="3178"/>
          </w:tcPr>
          <w:p>
            <w:r>
              <w:rPr/>
              <w:t>符合性要求</w:t>
            </w:r>
          </w:p>
        </w:tc>
        <w:tc>
          <w:tcPr>
            <w:tcW w:type="dxa" w:w="4238"/>
          </w:tcPr>
          <w:p>
            <w:r>
              <w:rPr/>
              <w:t>招标文件明示需签字或盖章处有法定代表人或授权代表签字或盖章的；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投标有效期满足招标文件要求；</w:t>
            </w:r>
          </w:p>
        </w:tc>
      </w:tr>
      <w:tr>
        <w:tc>
          <w:tcPr>
            <w:tcW w:type="dxa" w:w="890"/>
          </w:tcPr>
          <w:p>
            <w:r>
              <w:rPr/>
              <w:t>5</w:t>
            </w:r>
          </w:p>
        </w:tc>
        <w:tc>
          <w:tcPr>
            <w:tcW w:type="dxa" w:w="3178"/>
          </w:tcPr>
          <w:p>
            <w:r>
              <w:rPr/>
              <w:t>符合性要求</w:t>
            </w:r>
          </w:p>
        </w:tc>
        <w:tc>
          <w:tcPr>
            <w:tcW w:type="dxa" w:w="4238"/>
          </w:tcPr>
          <w:p>
            <w:r>
              <w:rPr/>
              <w:t>投标文件能按招标文件的要求编制；</w:t>
            </w:r>
          </w:p>
        </w:tc>
      </w:tr>
      <w:tr>
        <w:tc>
          <w:tcPr>
            <w:tcW w:type="dxa" w:w="890"/>
          </w:tcPr>
          <w:p>
            <w:r>
              <w:rPr/>
              <w:t>6</w:t>
            </w:r>
          </w:p>
        </w:tc>
        <w:tc>
          <w:tcPr>
            <w:tcW w:type="dxa" w:w="3178"/>
          </w:tcPr>
          <w:p>
            <w:r>
              <w:rPr/>
              <w:t>符合性要求</w:t>
            </w:r>
          </w:p>
        </w:tc>
        <w:tc>
          <w:tcPr>
            <w:tcW w:type="dxa" w:w="4238"/>
          </w:tcPr>
          <w:p>
            <w:r>
              <w:rPr/>
              <w:t>符合招标文件中规定的其它条款。</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高水平中职学校工艺美术专业群暨双精准示范专业建设项目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参数响应 (25.0分)</w:t>
            </w:r>
          </w:p>
        </w:tc>
        <w:tc>
          <w:tcPr>
            <w:tcW w:type="dxa" w:w="5076"/>
          </w:tcPr>
          <w:p>
            <w:pPr>
              <w:jc w:val="left"/>
            </w:pPr>
            <w:r>
              <w:rPr/>
              <w:t>根据 “用户需求书”中参数要求响应情况进行评分：完全响应招标文件要求得25分。每负偏离一项标示“▲”符号条款扣2分；每负偏离一项非标示“▲”符号条款扣1分。最高扣至0分。 注：“▲”符号需按招标文件的要求提供相关证明材料并加盖供应商公章，否则按负偏离进行扣分。</w:t>
            </w:r>
          </w:p>
        </w:tc>
      </w:tr>
      <w:tr>
        <w:tc>
          <w:tcPr>
            <w:tcW w:type="dxa" w:w="922"/>
            <w:gridSpan w:val="2"/>
            <w:vMerge/>
          </w:tcPr>
          <w:p/>
        </w:tc>
        <w:tc>
          <w:tcPr>
            <w:tcW w:type="dxa" w:w="2307"/>
          </w:tcPr>
          <w:p>
            <w:pPr>
              <w:jc w:val="left"/>
            </w:pPr>
            <w:r>
              <w:rPr/>
              <w:t>演示部分 (15.0分)</w:t>
            </w:r>
          </w:p>
        </w:tc>
        <w:tc>
          <w:tcPr>
            <w:tcW w:type="dxa" w:w="5076"/>
          </w:tcPr>
          <w:p>
            <w:pPr>
              <w:jc w:val="left"/>
            </w:pPr>
            <w:r>
              <w:rPr/>
              <w:t>对比所有供应商提供的“专业群多维调研与分析”演示情况进行比较和评价（演示所需设备由供应商自行配置，且演示时间不得超过20分钟）： 1.人才需求数量维度：包括各地区（全国、省份、经济区、城市）的岗位人才需求量、各学历的岗位人才需求量等，为学校把握各地人才需求以及结合当地人才需求变化趋势进行专业定位提供数据支撑。能满足此功能要求的得4分，否则不得分； 2.人才薪资水平维度：薪资维度，包括各岗位薪资差异对比、城市薪资分布等，为学校把握专业人才薪资水平和发展前景提供数据支撑。能满足此功能要求的得4分，否则不得分； 3.岗位关联企业：提供规模较大且有相关岗位人才招聘需求的公司列表，供学校进行产教融合交流，每个岗位提供应用算法打分排序后前50名企业。能满足此功能要求的得4分，否则不得分； 4.以上各维度数据分析统计可按照自身需求任意关联组合分析，获得更多不同维度调研分析结果，并且支持Excle格式导出功能。能满足此功能要求的得3分，否则不得分； 5.供应商未演示不得分。 注各小项累计得分，演示部分最高得15分。</w:t>
            </w:r>
          </w:p>
        </w:tc>
      </w:tr>
      <w:tr>
        <w:tc>
          <w:tcPr>
            <w:tcW w:type="dxa" w:w="922"/>
            <w:gridSpan w:val="2"/>
            <w:vMerge/>
          </w:tcPr>
          <w:p/>
        </w:tc>
        <w:tc>
          <w:tcPr>
            <w:tcW w:type="dxa" w:w="2307"/>
          </w:tcPr>
          <w:p>
            <w:pPr>
              <w:jc w:val="left"/>
            </w:pPr>
            <w:r>
              <w:rPr/>
              <w:t>服务方案 (10.0分)</w:t>
            </w:r>
          </w:p>
        </w:tc>
        <w:tc>
          <w:tcPr>
            <w:tcW w:type="dxa" w:w="5076"/>
          </w:tcPr>
          <w:p>
            <w:pPr>
              <w:jc w:val="left"/>
            </w:pPr>
            <w:r>
              <w:rPr/>
              <w:t>根据响应供应商项目管理、项目实施方案、验收方案等方面进行评审： 方案详细具体、具有针对性、可操作性强得10分； 方案一般、针对性一般、可操作性一般得7分； 方案不具有针对性、可操作较差得3分； 无提供相应方案不得分。</w:t>
            </w:r>
          </w:p>
        </w:tc>
      </w:tr>
      <w:tr>
        <w:tc>
          <w:tcPr>
            <w:tcW w:type="dxa" w:w="922"/>
            <w:gridSpan w:val="2"/>
            <w:vMerge w:val="restart"/>
          </w:tcPr>
          <w:p>
            <w:pPr>
              <w:jc w:val="center"/>
            </w:pPr>
            <w:r>
              <w:rPr/>
              <w:t>商务部分</w:t>
            </w:r>
          </w:p>
        </w:tc>
        <w:tc>
          <w:tcPr>
            <w:tcW w:type="dxa" w:w="2307"/>
          </w:tcPr>
          <w:p>
            <w:pPr>
              <w:jc w:val="left"/>
            </w:pPr>
            <w:r>
              <w:rPr/>
              <w:t>同类业绩 (9.0分)</w:t>
            </w:r>
          </w:p>
        </w:tc>
        <w:tc>
          <w:tcPr>
            <w:tcW w:type="dxa" w:w="5076"/>
          </w:tcPr>
          <w:p>
            <w:pPr>
              <w:jc w:val="left"/>
            </w:pPr>
            <w:r>
              <w:rPr/>
              <w:t>响应供应商自2019年1月1日至今完成同类项目业绩经验，每提供一个得3分，最高得9分。 注：注：以合同签订时间为准，提供项目中标通知书、合同关键页、验收报告复印件并加盖公章，原件备查。未按要求提供以上完整材料的，该项业绩不得分。</w:t>
            </w:r>
          </w:p>
        </w:tc>
      </w:tr>
      <w:tr>
        <w:tc>
          <w:tcPr>
            <w:tcW w:type="dxa" w:w="922"/>
            <w:gridSpan w:val="2"/>
            <w:vMerge/>
          </w:tcPr>
          <w:p/>
        </w:tc>
        <w:tc>
          <w:tcPr>
            <w:tcW w:type="dxa" w:w="2307"/>
          </w:tcPr>
          <w:p>
            <w:pPr>
              <w:jc w:val="left"/>
            </w:pPr>
            <w:r>
              <w:rPr/>
              <w:t>供应商信誉及资质 (3.0分)</w:t>
            </w:r>
          </w:p>
        </w:tc>
        <w:tc>
          <w:tcPr>
            <w:tcW w:type="dxa" w:w="5076"/>
          </w:tcPr>
          <w:p>
            <w:pPr>
              <w:jc w:val="left"/>
            </w:pPr>
            <w:r>
              <w:rPr/>
              <w:t>1、具有质量管理体系认证证书的，得1.5分； 2、具有信息技术服务管理体系认证证书，得1.5分。 注：同时提供证书复印件及认证认可业务信息统一查询平台（http://cx.cnca.cn/）在截止时最新状态的查询结果截图并加盖公章。不提供证明材料或者证明材料不齐全不得分。</w:t>
            </w:r>
          </w:p>
        </w:tc>
      </w:tr>
      <w:tr>
        <w:tc>
          <w:tcPr>
            <w:tcW w:type="dxa" w:w="922"/>
            <w:gridSpan w:val="2"/>
            <w:vMerge/>
          </w:tcPr>
          <w:p/>
        </w:tc>
        <w:tc>
          <w:tcPr>
            <w:tcW w:type="dxa" w:w="2307"/>
          </w:tcPr>
          <w:p>
            <w:pPr>
              <w:jc w:val="left"/>
            </w:pPr>
            <w:r>
              <w:rPr/>
              <w:t>项目实施人员资质  (8.0分)</w:t>
            </w:r>
          </w:p>
        </w:tc>
        <w:tc>
          <w:tcPr>
            <w:tcW w:type="dxa" w:w="5076"/>
          </w:tcPr>
          <w:p>
            <w:pPr>
              <w:jc w:val="left"/>
            </w:pPr>
            <w:r>
              <w:rPr/>
              <w:t>1、本项目项目经理资质情况： 同时具有系统集成项目管理工程师证书和PMP认证证书，得2分。 2、本项目实施团队技术人员（项目经理除外）情况： （1）拟投入人员中具有信息安全保障人员认证证书、ITSS服务项目经理或ITSS服务工程师证书，每个得2分，最高可得4分。 （2）拟投入人员中具有注册电气工程师（供配电）注册执业证书，得1分。 （3）具有机电工程专业建造师注册证书，一级得1分；二级得1分； 合计最高可得8分。 注： 须提供以上证书复印件及拟投入本项目人员在本公司任职的外部证明材料（如加盖政府有关部门印章的打印日期在本项目截止日之前三个月以内任意一个月的《投保单》 或《社会保险参保人员证明》 ，或单位代缴个人所得税税单等并加盖公章， 无提供不得分。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both"/>
      </w:pPr>
      <w:r>
        <w:rPr>
          <w:b/>
          <w:sz w:val="27"/>
        </w:rPr>
        <w:t>甲　　方：　　　　　</w:t>
      </w:r>
    </w:p>
    <w:p>
      <w:pPr>
        <w:jc w:val="both"/>
      </w:pPr>
      <w:r>
        <w:rPr>
          <w:sz w:val="27"/>
        </w:rPr>
        <w:t>电　　话：</w:t>
      </w:r>
      <w:r>
        <w:rPr>
          <w:sz w:val="27"/>
        </w:rPr>
        <w:t>　　传　　真：</w:t>
      </w:r>
      <w:r>
        <w:rPr>
          <w:sz w:val="27"/>
        </w:rPr>
        <w:t>　　地　　址：</w:t>
      </w:r>
    </w:p>
    <w:p>
      <w:pPr>
        <w:jc w:val="both"/>
      </w:pPr>
      <w:r>
        <w:rPr>
          <w:b/>
          <w:sz w:val="27"/>
        </w:rPr>
        <w:t>乙　　方：　　　　　</w:t>
      </w:r>
    </w:p>
    <w:p>
      <w:pPr>
        <w:jc w:val="both"/>
      </w:pPr>
      <w:r>
        <w:rPr>
          <w:sz w:val="27"/>
        </w:rPr>
        <w:t>电　　话：</w:t>
      </w:r>
      <w:r>
        <w:rPr>
          <w:sz w:val="27"/>
        </w:rPr>
        <w:t>　　传　　真：</w:t>
      </w:r>
      <w:r>
        <w:rPr>
          <w:sz w:val="27"/>
        </w:rPr>
        <w:t>　　地　　址：</w:t>
      </w:r>
    </w:p>
    <w:p>
      <w:pPr>
        <w:jc w:val="both"/>
      </w:pPr>
      <w:r>
        <w:rPr>
          <w:sz w:val="21"/>
        </w:rPr>
        <w:t xml:space="preserve"> </w:t>
      </w:r>
    </w:p>
    <w:p>
      <w:pPr>
        <w:ind w:firstLine="404"/>
        <w:jc w:val="both"/>
      </w:pPr>
      <w:r>
        <w:rPr>
          <w:sz w:val="27"/>
        </w:rPr>
        <w:t>根据</w:t>
      </w:r>
      <w:r>
        <w:rPr>
          <w:sz w:val="27"/>
        </w:rPr>
        <w:t xml:space="preserve">            </w:t>
      </w:r>
      <w:r>
        <w:rPr>
          <w:sz w:val="27"/>
        </w:rPr>
        <w:t>项目的采购结果，按照《中华人民共和国政府采购法》、《中华人民共和国民法典</w:t>
      </w:r>
      <w:r>
        <w:rPr>
          <w:sz w:val="27"/>
        </w:rPr>
        <w:t>(合同编)》的规定，经双方协商，本着平等互利和诚实信用的原则，一致同意签订本合同如下。</w:t>
      </w:r>
    </w:p>
    <w:p>
      <w:pPr>
        <w:jc w:val="both"/>
      </w:pPr>
      <w:r>
        <w:rPr>
          <w:b/>
          <w:sz w:val="27"/>
        </w:rPr>
        <w:t>一、货物内容</w:t>
      </w: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793"/>
        <w:gridCol w:w="4032"/>
        <w:gridCol w:w="793"/>
        <w:gridCol w:w="534"/>
        <w:gridCol w:w="534"/>
        <w:gridCol w:w="810"/>
        <w:gridCol w:w="810"/>
      </w:tblGrid>
      <w:tr>
        <w:tc>
          <w:tcPr>
            <w:tcW w:type="dxa" w:w="793"/>
            <w:tcBorders>
              <w:top w:val="single" w:color="CCCCCC" w:sz="4"/>
              <w:left w:val="single" w:color="CCCCCC" w:sz="4"/>
              <w:bottom w:val="single" w:color="CCCCCC" w:sz="4"/>
              <w:right w:val="single" w:color="CCCCCC" w:sz="4"/>
            </w:tcBorders>
            <w:vAlign w:val="top"/>
          </w:tcPr>
          <w:p>
            <w:pPr>
              <w:jc w:val="both"/>
            </w:pPr>
            <w:r>
              <w:rPr>
                <w:sz w:val="24"/>
              </w:rPr>
              <w:t>名称</w:t>
            </w:r>
          </w:p>
        </w:tc>
        <w:tc>
          <w:tcPr>
            <w:tcW w:type="dxa" w:w="4032"/>
            <w:tcBorders>
              <w:top w:val="single" w:color="CCCCCC" w:sz="4"/>
              <w:left w:val="single" w:color="000000" w:sz="4"/>
              <w:bottom w:val="single" w:color="CCCCCC" w:sz="4"/>
              <w:right w:val="single" w:color="CCCCCC" w:sz="4"/>
            </w:tcBorders>
            <w:vAlign w:val="top"/>
          </w:tcPr>
          <w:p>
            <w:pPr>
              <w:jc w:val="center"/>
            </w:pPr>
            <w:r>
              <w:rPr>
                <w:sz w:val="24"/>
              </w:rPr>
              <w:t>品牌、规格、标准</w:t>
            </w:r>
            <w:r>
              <w:rPr>
                <w:sz w:val="24"/>
              </w:rPr>
              <w:t>/主要服务内容</w:t>
            </w:r>
          </w:p>
        </w:tc>
        <w:tc>
          <w:tcPr>
            <w:tcW w:type="dxa" w:w="793"/>
            <w:tcBorders>
              <w:top w:val="single" w:color="CCCCCC" w:sz="4"/>
              <w:left w:val="single" w:color="000000" w:sz="4"/>
              <w:bottom w:val="single" w:color="CCCCCC" w:sz="4"/>
              <w:right w:val="single" w:color="CCCCCC" w:sz="4"/>
            </w:tcBorders>
            <w:vAlign w:val="top"/>
          </w:tcPr>
          <w:p>
            <w:pPr>
              <w:jc w:val="both"/>
            </w:pPr>
            <w:r>
              <w:rPr>
                <w:sz w:val="24"/>
              </w:rPr>
              <w:t>产地</w:t>
            </w:r>
          </w:p>
        </w:tc>
        <w:tc>
          <w:tcPr>
            <w:tcW w:type="dxa" w:w="534"/>
            <w:tcBorders>
              <w:top w:val="single" w:color="CCCCCC" w:sz="4"/>
              <w:left w:val="single" w:color="000000" w:sz="4"/>
              <w:bottom w:val="single" w:color="CCCCCC" w:sz="4"/>
              <w:right w:val="single" w:color="CCCCCC" w:sz="4"/>
            </w:tcBorders>
            <w:vAlign w:val="top"/>
          </w:tcPr>
          <w:p>
            <w:pPr>
              <w:jc w:val="center"/>
            </w:pPr>
            <w:r>
              <w:rPr>
                <w:sz w:val="24"/>
              </w:rPr>
              <w:t>数量</w:t>
            </w:r>
          </w:p>
        </w:tc>
        <w:tc>
          <w:tcPr>
            <w:tcW w:type="dxa" w:w="534"/>
            <w:tcBorders>
              <w:top w:val="single" w:color="CCCCCC" w:sz="4"/>
              <w:left w:val="single" w:color="000000" w:sz="4"/>
              <w:bottom w:val="single" w:color="CCCCCC" w:sz="4"/>
              <w:right w:val="single" w:color="CCCCCC" w:sz="4"/>
            </w:tcBorders>
            <w:vAlign w:val="top"/>
          </w:tcPr>
          <w:p>
            <w:pPr>
              <w:jc w:val="center"/>
            </w:pPr>
            <w:r>
              <w:rPr>
                <w:sz w:val="24"/>
              </w:rPr>
              <w:t>单位</w:t>
            </w:r>
          </w:p>
        </w:tc>
        <w:tc>
          <w:tcPr>
            <w:tcW w:type="dxa" w:w="810"/>
            <w:tcBorders>
              <w:top w:val="single" w:color="CCCCCC" w:sz="4"/>
              <w:left w:val="single" w:color="000000" w:sz="4"/>
              <w:bottom w:val="single" w:color="CCCCCC" w:sz="4"/>
              <w:right w:val="single" w:color="CCCCCC" w:sz="4"/>
            </w:tcBorders>
            <w:vAlign w:val="top"/>
          </w:tcPr>
          <w:p>
            <w:pPr>
              <w:jc w:val="center"/>
            </w:pPr>
            <w:r>
              <w:rPr>
                <w:sz w:val="24"/>
              </w:rPr>
              <w:t>单价</w:t>
            </w:r>
          </w:p>
          <w:p>
            <w:pPr>
              <w:jc w:val="center"/>
            </w:pPr>
            <w:r>
              <w:rPr>
                <w:sz w:val="24"/>
              </w:rPr>
              <w:t>（元）</w:t>
            </w:r>
          </w:p>
        </w:tc>
        <w:tc>
          <w:tcPr>
            <w:tcW w:type="dxa" w:w="810"/>
            <w:tcBorders>
              <w:top w:val="single" w:color="CCCCCC" w:sz="4"/>
              <w:left w:val="single" w:color="000000" w:sz="4"/>
              <w:bottom w:val="single" w:color="CCCCCC" w:sz="4"/>
              <w:right w:val="single" w:color="CCCCCC" w:sz="4"/>
            </w:tcBorders>
            <w:vAlign w:val="top"/>
          </w:tcPr>
          <w:p>
            <w:pPr>
              <w:jc w:val="center"/>
            </w:pPr>
            <w:r>
              <w:rPr>
                <w:sz w:val="24"/>
              </w:rPr>
              <w:t>金额</w:t>
            </w:r>
          </w:p>
          <w:p>
            <w:pPr>
              <w:jc w:val="center"/>
            </w:pPr>
            <w:r>
              <w:rPr>
                <w:sz w:val="24"/>
              </w:rPr>
              <w:t>（元）</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4"/>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793"/>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534"/>
            <w:tcBorders>
              <w:top w:val="single" w:color="000000" w:sz="4"/>
              <w:left w:val="single" w:color="000000" w:sz="4"/>
              <w:bottom w:val="single" w:color="CCCCCC" w:sz="4"/>
              <w:right w:val="single" w:color="CCCCCC" w:sz="4"/>
            </w:tcBorders>
            <w:vAlign w:val="top"/>
          </w:tcPr>
          <w:p>
            <w:pPr>
              <w:jc w:val="center"/>
            </w:pPr>
            <w:r>
              <w:rPr>
                <w:sz w:val="24"/>
              </w:rPr>
              <w:t>**</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93"/>
            <w:tcBorders>
              <w:top w:val="single" w:color="000000" w:sz="4"/>
              <w:left w:val="single" w:color="CCCCCC" w:sz="4"/>
              <w:bottom w:val="single" w:color="CCCCCC" w:sz="4"/>
              <w:right w:val="single" w:color="CCCCCC" w:sz="4"/>
            </w:tcBorders>
            <w:vAlign w:val="top"/>
          </w:tcPr>
          <w:p>
            <w:pPr>
              <w:jc w:val="center"/>
            </w:pPr>
            <w:r>
              <w:rPr>
                <w:sz w:val="21"/>
              </w:rPr>
              <w:t xml:space="preserve"> </w:t>
            </w:r>
          </w:p>
        </w:tc>
        <w:tc>
          <w:tcPr>
            <w:tcW w:type="dxa" w:w="4032"/>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793"/>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534"/>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c>
          <w:tcPr>
            <w:tcW w:type="dxa" w:w="810"/>
            <w:tcBorders>
              <w:top w:val="single" w:color="000000" w:sz="4"/>
              <w:left w:val="single" w:color="000000" w:sz="4"/>
              <w:bottom w:val="single" w:color="CCCCCC" w:sz="4"/>
              <w:right w:val="single" w:color="CCCCCC" w:sz="4"/>
            </w:tcBorders>
            <w:vAlign w:val="top"/>
          </w:tcPr>
          <w:p>
            <w:pPr>
              <w:jc w:val="center"/>
            </w:pPr>
            <w:r>
              <w:rPr>
                <w:sz w:val="21"/>
              </w:rPr>
              <w:t xml:space="preserve"> </w:t>
            </w:r>
          </w:p>
        </w:tc>
      </w:tr>
      <w:tr>
        <w:tc>
          <w:tcPr>
            <w:tcW w:type="dxa" w:w="7496"/>
            <w:gridSpan w:val="6"/>
            <w:tcBorders>
              <w:top w:val="single" w:color="000000" w:sz="4"/>
              <w:left w:val="single" w:color="CCCCCC" w:sz="4"/>
              <w:bottom w:val="single" w:color="CCCCCC" w:sz="4"/>
              <w:right w:val="single" w:color="CCCCCC" w:sz="4"/>
            </w:tcBorders>
            <w:vAlign w:val="top"/>
          </w:tcPr>
          <w:p>
            <w:pPr>
              <w:jc w:val="center"/>
            </w:pPr>
            <w:r>
              <w:rPr>
                <w:sz w:val="24"/>
              </w:rPr>
              <w:t>合计：人民币大写：</w:t>
            </w:r>
            <w:r>
              <w:rPr>
                <w:sz w:val="24"/>
              </w:rPr>
              <w:t>**元整</w:t>
            </w:r>
          </w:p>
        </w:tc>
        <w:tc>
          <w:tcPr>
            <w:tcW w:type="dxa" w:w="810"/>
            <w:tcBorders>
              <w:top w:val="single" w:color="000000" w:sz="4"/>
              <w:left w:val="single" w:color="000000" w:sz="4"/>
              <w:bottom w:val="single" w:color="CCCCCC" w:sz="4"/>
              <w:right w:val="single" w:color="CCCCCC" w:sz="4"/>
            </w:tcBorders>
            <w:vAlign w:val="top"/>
          </w:tcPr>
          <w:p>
            <w:pPr>
              <w:jc w:val="center"/>
            </w:pPr>
            <w:r>
              <w:rPr>
                <w:sz w:val="24"/>
              </w:rPr>
              <w:t>￥：</w:t>
            </w:r>
            <w:r>
              <w:rPr>
                <w:sz w:val="24"/>
              </w:rPr>
              <w:t>**</w:t>
            </w:r>
          </w:p>
        </w:tc>
      </w:tr>
      <w:tr>
        <w:tc>
          <w:tcPr>
            <w:tcW w:type="dxa" w:w="793"/>
            <w:tcBorders>
              <w:top w:val="none" w:color="000000" w:sz="4"/>
              <w:left w:val="none" w:color="000000" w:sz="4"/>
              <w:bottom w:val="none" w:color="000000" w:sz="4"/>
              <w:right w:val="none" w:color="000000" w:sz="4"/>
            </w:tcBorders>
            <w:vAlign w:val="top"/>
          </w:tcPr>
          <w:p>
            <w:pPr>
              <w:jc w:val="both"/>
            </w:pPr>
          </w:p>
        </w:tc>
        <w:tc>
          <w:tcPr>
            <w:tcW w:type="dxa" w:w="4032"/>
            <w:tcBorders>
              <w:top w:val="none" w:color="000000" w:sz="4"/>
              <w:left w:val="none" w:color="000000" w:sz="4"/>
              <w:bottom w:val="none" w:color="000000" w:sz="4"/>
              <w:right w:val="none" w:color="000000" w:sz="4"/>
            </w:tcBorders>
            <w:vAlign w:val="top"/>
          </w:tcPr>
          <w:p>
            <w:pPr>
              <w:jc w:val="both"/>
            </w:pPr>
          </w:p>
        </w:tc>
        <w:tc>
          <w:tcPr>
            <w:tcW w:type="dxa" w:w="793"/>
            <w:tcBorders>
              <w:top w:val="none" w:color="000000" w:sz="4"/>
              <w:left w:val="none" w:color="000000" w:sz="4"/>
              <w:bottom w:val="none" w:color="000000" w:sz="4"/>
              <w:right w:val="none" w:color="000000" w:sz="4"/>
            </w:tcBorders>
            <w:vAlign w:val="top"/>
          </w:tcPr>
          <w:p>
            <w:pPr>
              <w:jc w:val="both"/>
            </w:pPr>
          </w:p>
        </w:tc>
        <w:tc>
          <w:tcPr>
            <w:tcW w:type="dxa" w:w="534"/>
            <w:tcBorders>
              <w:top w:val="none" w:color="000000" w:sz="4"/>
              <w:left w:val="none" w:color="000000" w:sz="4"/>
              <w:bottom w:val="none" w:color="000000" w:sz="4"/>
              <w:right w:val="none" w:color="000000" w:sz="4"/>
            </w:tcBorders>
            <w:vAlign w:val="top"/>
          </w:tcPr>
          <w:p>
            <w:pPr>
              <w:jc w:val="both"/>
            </w:pPr>
          </w:p>
        </w:tc>
        <w:tc>
          <w:tcPr>
            <w:tcW w:type="dxa" w:w="534"/>
            <w:tcBorders>
              <w:top w:val="none" w:color="000000" w:sz="4"/>
              <w:left w:val="none" w:color="000000" w:sz="4"/>
              <w:bottom w:val="none" w:color="000000" w:sz="4"/>
              <w:right w:val="none" w:color="000000" w:sz="4"/>
            </w:tcBorders>
            <w:vAlign w:val="top"/>
          </w:tcPr>
          <w:p>
            <w:pPr>
              <w:jc w:val="both"/>
            </w:pPr>
          </w:p>
        </w:tc>
        <w:tc>
          <w:tcPr>
            <w:tcW w:type="dxa" w:w="810"/>
            <w:tcBorders>
              <w:top w:val="none" w:color="000000" w:sz="4"/>
              <w:left w:val="none" w:color="000000" w:sz="4"/>
              <w:bottom w:val="none" w:color="000000" w:sz="4"/>
              <w:right w:val="none" w:color="000000" w:sz="4"/>
            </w:tcBorders>
            <w:vAlign w:val="top"/>
          </w:tcPr>
          <w:p>
            <w:pPr>
              <w:jc w:val="both"/>
            </w:pPr>
          </w:p>
        </w:tc>
        <w:tc>
          <w:tcPr>
            <w:tcW w:type="dxa" w:w="810"/>
            <w:tcBorders>
              <w:top w:val="none" w:color="000000" w:sz="4"/>
              <w:left w:val="none" w:color="000000" w:sz="4"/>
              <w:bottom w:val="none" w:color="000000" w:sz="4"/>
              <w:right w:val="none" w:color="000000" w:sz="4"/>
            </w:tcBorders>
            <w:vAlign w:val="top"/>
          </w:tcPr>
          <w:p>
            <w:pPr>
              <w:jc w:val="both"/>
            </w:pPr>
          </w:p>
        </w:tc>
      </w:tr>
    </w:tbl>
    <w:p>
      <w:pPr>
        <w:jc w:val="both"/>
      </w:pPr>
      <w:r>
        <w:rPr>
          <w:sz w:val="21"/>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二、合同金额</w:t>
      </w:r>
    </w:p>
    <w:p>
      <w:pPr>
        <w:jc w:val="both"/>
      </w:pPr>
      <w:r>
        <w:rPr>
          <w:sz w:val="27"/>
        </w:rPr>
        <w:t>合同金额为（大写）：</w:t>
      </w:r>
      <w:r>
        <w:rPr>
          <w:sz w:val="27"/>
        </w:rPr>
        <w:t>_________________元（￥_______________元）人民币。</w:t>
      </w:r>
    </w:p>
    <w:p>
      <w:pPr>
        <w:jc w:val="both"/>
      </w:pPr>
      <w:r>
        <w:rPr>
          <w:b/>
          <w:sz w:val="27"/>
        </w:rPr>
        <w:t>三、设备要求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四、交货期、交货方式及交货地点</w:t>
      </w:r>
    </w:p>
    <w:p>
      <w:pPr>
        <w:jc w:val="both"/>
      </w:pPr>
      <w:r>
        <w:rPr>
          <w:sz w:val="21"/>
        </w:rPr>
        <w:t xml:space="preserve">       </w:t>
      </w:r>
      <w:r>
        <w:rPr>
          <w:sz w:val="27"/>
        </w:rPr>
        <w:t>1.交货期：</w:t>
      </w:r>
    </w:p>
    <w:p>
      <w:pPr>
        <w:jc w:val="both"/>
      </w:pPr>
      <w:r>
        <w:rPr>
          <w:sz w:val="21"/>
        </w:rPr>
        <w:t xml:space="preserve">       </w:t>
      </w:r>
      <w:r>
        <w:rPr>
          <w:sz w:val="27"/>
        </w:rPr>
        <w:t>2.交货方式：</w:t>
      </w:r>
    </w:p>
    <w:p>
      <w:pPr>
        <w:jc w:val="both"/>
      </w:pPr>
      <w:r>
        <w:rPr>
          <w:sz w:val="21"/>
        </w:rPr>
        <w:t xml:space="preserve">       </w:t>
      </w:r>
      <w:r>
        <w:rPr>
          <w:sz w:val="27"/>
        </w:rPr>
        <w:t>3.交货地点：</w:t>
      </w:r>
    </w:p>
    <w:p>
      <w:pPr>
        <w:jc w:val="both"/>
      </w:pPr>
      <w:r>
        <w:rPr>
          <w:b/>
          <w:sz w:val="27"/>
        </w:rPr>
        <w:t>五、付款方式</w:t>
      </w:r>
    </w:p>
    <w:p>
      <w:pPr>
        <w:jc w:val="both"/>
      </w:pPr>
      <w:r>
        <w:rPr>
          <w:sz w:val="27"/>
        </w:rPr>
        <w:t xml:space="preserve">1.  </w:t>
      </w:r>
      <w:r>
        <w:rPr>
          <w:sz w:val="27"/>
        </w:rPr>
        <w:t>1期：支付比例</w:t>
      </w:r>
      <w:r>
        <w:rPr>
          <w:sz w:val="27"/>
        </w:rPr>
        <w:t>3</w:t>
      </w:r>
      <w:r>
        <w:rPr>
          <w:sz w:val="27"/>
        </w:rPr>
        <w:t>0%，</w:t>
      </w:r>
      <w:r>
        <w:rPr>
          <w:sz w:val="27"/>
        </w:rPr>
        <w:t>合同签订后</w:t>
      </w:r>
      <w:r>
        <w:rPr>
          <w:sz w:val="27"/>
        </w:rPr>
        <w:t>15天内采购人收到中标人开具的相应款额发票后向中标人预付合同价的30%</w:t>
      </w:r>
      <w:r>
        <w:rPr>
          <w:sz w:val="27"/>
        </w:rPr>
        <w:t>；</w:t>
      </w:r>
    </w:p>
    <w:p>
      <w:pPr>
        <w:jc w:val="both"/>
      </w:pPr>
      <w:r>
        <w:rPr>
          <w:sz w:val="27"/>
        </w:rPr>
        <w:t xml:space="preserve">2.  </w:t>
      </w:r>
      <w:r>
        <w:rPr>
          <w:sz w:val="27"/>
        </w:rPr>
        <w:t>2期：支付比例50%，</w:t>
      </w:r>
      <w:r>
        <w:rPr>
          <w:sz w:val="27"/>
        </w:rPr>
        <w:t>试运行正常通过后</w:t>
      </w:r>
      <w:r>
        <w:rPr>
          <w:sz w:val="27"/>
        </w:rPr>
        <w:t>15天内采购人收到中标人开具的相应款额发票后向中标人支付合同价的50%</w:t>
      </w:r>
      <w:r>
        <w:rPr>
          <w:sz w:val="27"/>
        </w:rPr>
        <w:t>；</w:t>
      </w:r>
    </w:p>
    <w:p>
      <w:pPr>
        <w:jc w:val="both"/>
      </w:pPr>
      <w:r>
        <w:rPr>
          <w:sz w:val="27"/>
        </w:rPr>
        <w:t xml:space="preserve">3.  </w:t>
      </w:r>
      <w:r>
        <w:rPr>
          <w:sz w:val="27"/>
        </w:rPr>
        <w:t>3期：支付比例</w:t>
      </w:r>
      <w:r>
        <w:rPr>
          <w:sz w:val="27"/>
        </w:rPr>
        <w:t>2</w:t>
      </w:r>
      <w:r>
        <w:rPr>
          <w:sz w:val="27"/>
        </w:rPr>
        <w:t>0%，</w:t>
      </w:r>
      <w:r>
        <w:rPr>
          <w:sz w:val="27"/>
        </w:rPr>
        <w:t>项目竣工验收</w:t>
      </w:r>
      <w:r>
        <w:rPr>
          <w:sz w:val="27"/>
        </w:rPr>
        <w:t>(终验)</w:t>
      </w:r>
      <w:r>
        <w:rPr>
          <w:sz w:val="27"/>
        </w:rPr>
        <w:t>合格后</w:t>
      </w:r>
      <w:r>
        <w:rPr>
          <w:sz w:val="27"/>
        </w:rPr>
        <w:t>15天内采购人收到中标人开具的相应款额发票后向中标人支付至合同价的100%</w:t>
      </w:r>
      <w:r>
        <w:rPr>
          <w:sz w:val="27"/>
        </w:rPr>
        <w:t>。</w:t>
      </w:r>
    </w:p>
    <w:p>
      <w:pPr>
        <w:jc w:val="both"/>
      </w:pPr>
      <w:r>
        <w:rPr>
          <w:b/>
          <w:sz w:val="27"/>
        </w:rPr>
        <w:t>六、质保期及售后服务要求</w:t>
      </w:r>
    </w:p>
    <w:p>
      <w:pPr>
        <w:jc w:val="both"/>
      </w:pPr>
      <w:r>
        <w:rPr>
          <w:sz w:val="27"/>
        </w:rPr>
        <w:t>1、 质量保修范围：工艺美术专业群标准研制与教学资源开发、工艺美术双精准示范专业建设等以及双方约定其他项目。</w:t>
      </w:r>
    </w:p>
    <w:p>
      <w:pPr>
        <w:jc w:val="both"/>
      </w:pPr>
      <w:r>
        <w:rPr>
          <w:sz w:val="27"/>
        </w:rPr>
        <w:t>2、本项目质量保修期如下：</w:t>
      </w:r>
    </w:p>
    <w:p>
      <w:pPr>
        <w:jc w:val="both"/>
      </w:pPr>
      <w:r>
        <w:rPr>
          <w:sz w:val="27"/>
        </w:rPr>
        <w:t>（</w:t>
      </w:r>
      <w:r>
        <w:rPr>
          <w:sz w:val="27"/>
        </w:rPr>
        <w:t>1）保修期为3年（含软件的免费升级）；</w:t>
      </w:r>
    </w:p>
    <w:p>
      <w:pPr>
        <w:jc w:val="both"/>
      </w:pPr>
      <w:r>
        <w:rPr>
          <w:sz w:val="27"/>
        </w:rPr>
        <w:t>（</w:t>
      </w:r>
      <w:r>
        <w:rPr>
          <w:sz w:val="27"/>
        </w:rPr>
        <w:t>2）其他项目保修期限按政府相关规定执行。</w:t>
      </w:r>
    </w:p>
    <w:p>
      <w:pPr>
        <w:jc w:val="both"/>
      </w:pPr>
      <w:r>
        <w:rPr>
          <w:sz w:val="27"/>
        </w:rPr>
        <w:t>3、保修期内，如软件系统（及配套货物）因非人为因素出现故障而造成短期停用时，则保修期和免费维修期相应顺延。若因软件系统（及配套货物）自身质量不能正常运转且维修仍不能正常运转的，中标人须更换软件系统（及配套货物），其技术参数须与原货物相同或优于，由此造成的费用由中标人承担。</w:t>
      </w:r>
    </w:p>
    <w:p>
      <w:pPr>
        <w:jc w:val="both"/>
      </w:pPr>
      <w:r>
        <w:rPr>
          <w:sz w:val="27"/>
        </w:rPr>
        <w:t>4、保修期内，中标人须在粤东地区范围内设有维修点，至少有2名技术人员常驻维修点负责本项目的售后服务，接到用户提出的维修或技术支持要求后1小时内予以响应，需要到达用户现场的6小时内到达用户现场，直至解决问题为止。</w:t>
      </w:r>
    </w:p>
    <w:p>
      <w:pPr>
        <w:jc w:val="both"/>
      </w:pPr>
      <w:r>
        <w:rPr>
          <w:sz w:val="27"/>
        </w:rPr>
        <w:t>5、符合运输要求，保证软件系统（及配套货物）到达目的地时完好，无毁损，包装不回收。在运输过程中造成的产品损失或损坏由中标人负担。</w:t>
      </w:r>
    </w:p>
    <w:p>
      <w:pPr>
        <w:jc w:val="both"/>
      </w:pPr>
      <w:r>
        <w:rPr>
          <w:sz w:val="27"/>
        </w:rPr>
        <w:t>6、要求本系统能够稳定的运行，提供本项目完整的项目实施管理、售后服务等。</w:t>
      </w:r>
    </w:p>
    <w:p>
      <w:pPr>
        <w:jc w:val="both"/>
      </w:pPr>
      <w:r>
        <w:rPr>
          <w:b/>
          <w:sz w:val="27"/>
        </w:rPr>
        <w:t>七、安装与调试</w:t>
      </w:r>
    </w:p>
    <w:p>
      <w:pPr>
        <w:jc w:val="both"/>
      </w:pPr>
      <w:r>
        <w:rPr>
          <w:sz w:val="27"/>
        </w:rPr>
        <w:t>1.乙方必须依照招标文件的要求和报价文件的承诺，将设备、系统安装并调试至正常运行的最佳状态。</w:t>
      </w:r>
    </w:p>
    <w:p>
      <w:pPr>
        <w:jc w:val="both"/>
      </w:pPr>
      <w:r>
        <w:rPr>
          <w:b/>
          <w:sz w:val="27"/>
        </w:rPr>
        <w:t>八、验收：</w:t>
      </w:r>
    </w:p>
    <w:p>
      <w:pPr>
        <w:jc w:val="both"/>
      </w:pPr>
      <w:r>
        <w:rPr>
          <w:sz w:val="27"/>
        </w:rPr>
        <w:t>1.交付验收标准依次序对照适用标准为：①符合中华人民共和国国家安全质量标准、环保标准或行业标准；②符合招标文件和响应承诺中甲方认可的合理最佳配置、参数及各项要求；③货物来源国官方标准。</w:t>
      </w:r>
    </w:p>
    <w:p>
      <w:pPr>
        <w:jc w:val="both"/>
      </w:pPr>
      <w:r>
        <w:rPr>
          <w:sz w:val="27"/>
        </w:rPr>
        <w:t>2.进口产品必须具备原产地证明和商检局的检验证明及合法进货渠道证明。</w:t>
      </w:r>
    </w:p>
    <w:p>
      <w:pPr>
        <w:jc w:val="both"/>
      </w:pPr>
      <w:r>
        <w:rPr>
          <w:sz w:val="27"/>
        </w:rPr>
        <w:t>3.货物为原厂商未启封全新包装，具出厂合格证，序列号、包装箱号与出厂批号一致，并可追索查阅。所有随设备的附件必须齐全。</w:t>
      </w:r>
    </w:p>
    <w:p>
      <w:pPr>
        <w:jc w:val="both"/>
      </w:pPr>
      <w:r>
        <w:rPr>
          <w:sz w:val="27"/>
        </w:rPr>
        <w:t>4.乙方应将关键主机设备的用户手册、保修手册、有关单证资料及配备件、随机工具等交付给甲方，使用操作及安全须知等重要资料应附有中文说明。</w:t>
      </w:r>
    </w:p>
    <w:p>
      <w:pPr>
        <w:jc w:val="both"/>
      </w:pPr>
      <w:r>
        <w:rPr>
          <w:sz w:val="27"/>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jc w:val="both"/>
      </w:pPr>
      <w:r>
        <w:rPr>
          <w:b/>
          <w:sz w:val="27"/>
        </w:rPr>
        <w:t>九、违约责任与赔偿损失</w:t>
      </w:r>
    </w:p>
    <w:p>
      <w:pPr>
        <w:jc w:val="both"/>
      </w:pPr>
      <w:r>
        <w:rPr>
          <w:sz w:val="27"/>
        </w:rPr>
        <w:t>1.乙方交付的货物、工程/提供的服务不符合本合同规定的，甲方有权拒收，并且乙方须向甲方支付本合同总价5%的违约金。</w:t>
      </w:r>
    </w:p>
    <w:p>
      <w:pPr>
        <w:jc w:val="both"/>
      </w:pPr>
      <w:r>
        <w:rPr>
          <w:sz w:val="27"/>
        </w:rPr>
        <w:t>2.乙方未能按本合同规定的交货时间交付货物的/提供服务，从逾期之日起每日按本合同总价3‰的数额向甲方支付违约金；逾期半个月以上的，甲方有权终止合同，由此造成的甲方经济损失由乙方承担。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1"/>
        </w:rPr>
        <w:t xml:space="preserve">                                                       </w:t>
      </w:r>
    </w:p>
    <w:p>
      <w:pPr>
        <w:jc w:val="both"/>
      </w:pPr>
      <w:r>
        <w:rPr>
          <w:sz w:val="27"/>
        </w:rPr>
        <w:t>5.其它违约责任按《中华人民共和国民法典(合同编)》处理。</w:t>
      </w:r>
    </w:p>
    <w:p>
      <w:pPr>
        <w:jc w:val="both"/>
      </w:pPr>
      <w:r>
        <w:rPr>
          <w:b/>
          <w:sz w:val="27"/>
        </w:rPr>
        <w:t>十、争议的解决</w:t>
      </w:r>
      <w:r>
        <w:rPr>
          <w:sz w:val="27"/>
        </w:rPr>
        <w:t xml:space="preserve">  </w:t>
      </w:r>
      <w:r>
        <w:rPr>
          <w:sz w:val="27"/>
        </w:rPr>
        <w:t>合同执行过程中发生的任何争议，如双方不能通过友好协商解决，按相关法律法规处理。</w:t>
      </w:r>
    </w:p>
    <w:p>
      <w:pPr>
        <w:jc w:val="both"/>
      </w:pPr>
      <w:r>
        <w:rPr>
          <w:b/>
          <w:sz w:val="27"/>
        </w:rPr>
        <w:t>十一、不可抗力</w:t>
      </w:r>
    </w:p>
    <w:p>
      <w:pPr>
        <w:jc w:val="both"/>
      </w:pPr>
      <w:r>
        <w:rPr>
          <w:sz w:val="27"/>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十二、税费</w:t>
      </w:r>
    </w:p>
    <w:p>
      <w:pPr>
        <w:jc w:val="both"/>
      </w:pPr>
      <w:r>
        <w:rPr>
          <w:sz w:val="27"/>
        </w:rPr>
        <w:t>1.在中国境内、外发生的与本合同执行有关的一切税费均由乙方负担。</w:t>
      </w:r>
    </w:p>
    <w:p>
      <w:pPr>
        <w:jc w:val="both"/>
      </w:pPr>
      <w:r>
        <w:rPr>
          <w:b/>
          <w:sz w:val="27"/>
        </w:rPr>
        <w:t>十三、</w:t>
      </w:r>
      <w:r>
        <w:rPr>
          <w:sz w:val="21"/>
        </w:rPr>
        <w:t xml:space="preserve"> </w:t>
      </w:r>
      <w:r>
        <w:rPr>
          <w:b/>
          <w:sz w:val="27"/>
        </w:rPr>
        <w:t>其它</w:t>
      </w:r>
    </w:p>
    <w:p>
      <w:pPr>
        <w:jc w:val="both"/>
      </w:pPr>
      <w:r>
        <w:rPr>
          <w:sz w:val="27"/>
        </w:rPr>
        <w:t>1.本合同所有附件、招标文件、投标文件、中标通知书均为合同的有效组成部分，与本合同具有同等法律效力。</w:t>
      </w:r>
    </w:p>
    <w:p>
      <w:pPr>
        <w:jc w:val="both"/>
      </w:pPr>
      <w:r>
        <w:rPr>
          <w:sz w:val="27"/>
        </w:rPr>
        <w:t>2.在执行本合同的过程中，所有经双方签署确认的文件（包括会议纪要、补充协议、往来信函）即成为本合同的有效组成部分。</w:t>
      </w:r>
    </w:p>
    <w:p>
      <w:pPr>
        <w:jc w:val="both"/>
      </w:pPr>
      <w:r>
        <w:rPr>
          <w:sz w:val="27"/>
        </w:rPr>
        <w:t>3.如一方地址、电话、传真号码有变更，应在变更当日内书面通知对方，否则，应承担相应责任。</w:t>
      </w:r>
    </w:p>
    <w:p>
      <w:pPr>
        <w:jc w:val="both"/>
      </w:pPr>
      <w:r>
        <w:rPr>
          <w:sz w:val="27"/>
        </w:rPr>
        <w:t>4.除甲方事先书面同意外，乙方不得部分或全部转让其应履行的合同项下的义务。</w:t>
      </w:r>
    </w:p>
    <w:p>
      <w:pPr>
        <w:jc w:val="both"/>
      </w:pPr>
      <w:r>
        <w:rPr>
          <w:sz w:val="27"/>
        </w:rPr>
        <w:t>5.预留份额:根据《政府采购促进中小企业发展管理办法》，本项目预留项目预算总额的80%专门面向中小企业采购，其中预留给小微企业的比例不低于60%。要求获得采购合同的供应商将采购项目中的一定比例分包给一家或者多家中小企业。接受分包合同的中小企业与分包企业之间不得存在直接控股、管理关系。</w:t>
      </w:r>
    </w:p>
    <w:p>
      <w:pPr>
        <w:jc w:val="both"/>
      </w:pPr>
      <w:r>
        <w:rPr>
          <w:b/>
          <w:sz w:val="27"/>
        </w:rPr>
        <w:t>十四、合同生效</w:t>
      </w:r>
    </w:p>
    <w:p>
      <w:pPr>
        <w:jc w:val="both"/>
      </w:pPr>
      <w:r>
        <w:rPr>
          <w:sz w:val="27"/>
        </w:rPr>
        <w:t>1.本合同在甲乙双方法人代表或其授权代表签字盖章后生效。</w:t>
      </w:r>
    </w:p>
    <w:p>
      <w:pPr>
        <w:jc w:val="both"/>
      </w:pPr>
      <w:r>
        <w:rPr>
          <w:sz w:val="27"/>
        </w:rPr>
        <w:t>2.合同一式   份。</w:t>
      </w:r>
    </w:p>
    <w:p>
      <w:pPr>
        <w:jc w:val="both"/>
      </w:pPr>
      <w:r>
        <w:rPr>
          <w:sz w:val="21"/>
        </w:rPr>
        <w:t xml:space="preserve"> </w:t>
      </w:r>
    </w:p>
    <w:p>
      <w:pPr>
        <w:jc w:val="both"/>
      </w:pPr>
      <w:r>
        <w:rPr>
          <w:b/>
          <w:sz w:val="27"/>
        </w:rPr>
        <w:t>甲方（盖章）：乙方（盖章）：</w:t>
      </w:r>
    </w:p>
    <w:p>
      <w:pPr>
        <w:jc w:val="both"/>
      </w:pPr>
      <w:r>
        <w:rPr>
          <w:b/>
          <w:sz w:val="27"/>
        </w:rPr>
        <w:t>代表：代表：</w:t>
      </w:r>
    </w:p>
    <w:p>
      <w:pPr>
        <w:jc w:val="both"/>
      </w:pPr>
      <w:r>
        <w:rPr>
          <w:sz w:val="27"/>
        </w:rPr>
        <w:t>签定地点：</w:t>
      </w:r>
    </w:p>
    <w:p>
      <w:pPr>
        <w:jc w:val="both"/>
      </w:pPr>
      <w:r>
        <w:rPr>
          <w:sz w:val="27"/>
        </w:rPr>
        <w:t>签定日期：　　　年　　月　　日签定日期：　　　年　　月　　日</w:t>
      </w:r>
    </w:p>
    <w:p>
      <w:pPr>
        <w:jc w:val="both"/>
      </w:pPr>
      <w:r>
        <w:rPr>
          <w:sz w:val="27"/>
        </w:rPr>
        <w:t>开户名称：</w:t>
      </w:r>
    </w:p>
    <w:p>
      <w:pPr>
        <w:jc w:val="both"/>
      </w:pPr>
      <w:r>
        <w:rPr>
          <w:sz w:val="27"/>
        </w:rPr>
        <w:t>银行帐号：</w:t>
      </w:r>
    </w:p>
    <w:p>
      <w:pPr>
        <w:jc w:val="both"/>
      </w:pPr>
      <w:r>
        <w:rPr>
          <w:sz w:val="27"/>
        </w:rPr>
        <w:t>开</w:t>
      </w:r>
      <w:r>
        <w:rPr>
          <w:sz w:val="27"/>
        </w:rPr>
        <w:t>户</w:t>
      </w:r>
      <w:r>
        <w:rPr>
          <w:sz w:val="27"/>
        </w:rPr>
        <w:t>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440515-2022-01143</w:t>
      </w:r>
    </w:p>
    <w:p>
      <w:pPr>
        <w:jc w:val="center"/>
      </w:pPr>
      <w:r>
        <w:rPr>
          <w:b/>
          <w:sz w:val="24"/>
        </w:rPr>
        <w:t>采购项目编号：</w:t>
      </w:r>
      <w:r>
        <w:rPr>
          <w:b/>
          <w:sz w:val="24"/>
        </w:rPr>
        <w:t>440515-2022-01143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广东恒胜建设监理有限公司</w:t>
      </w:r>
    </w:p>
    <w:p>
      <w:pPr>
        <w:ind w:firstLine="480"/>
      </w:pPr>
      <w:r>
        <w:rPr/>
        <w:t>你方组织的</w:t>
      </w:r>
      <w:r>
        <w:rPr>
          <w:u w:val="single"/>
        </w:rPr>
        <w:t>高水平中职学校工艺美术专业群暨双精准示范专业建设项目</w:t>
      </w:r>
      <w:r>
        <w:rPr/>
        <w:t>项目的招标[采购项目编号为：</w:t>
      </w:r>
      <w:r>
        <w:rPr>
          <w:u w:val="single"/>
        </w:rPr>
        <w:t>440515-2022-01143</w:t>
      </w:r>
      <w:r>
        <w:rPr/>
        <w:t>]，我方愿参与投标。</w:t>
      </w:r>
    </w:p>
    <w:p>
      <w:pPr>
        <w:ind w:firstLine="480"/>
      </w:pPr>
      <w:r>
        <w:rPr/>
        <w:t>我方确认收到贵方提供的</w:t>
      </w:r>
      <w:r>
        <w:rPr>
          <w:u w:val="single"/>
        </w:rPr>
        <w:t>高水平中职学校工艺美术专业群暨双精准示范专业建设项目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高水平中职学校工艺美术专业群暨双精准示范专业建设项目</w:t>
      </w:r>
      <w:r>
        <w:rPr/>
        <w:t>项目采购[采购项目编号为</w:t>
      </w:r>
      <w:r>
        <w:rPr/>
        <w:t>440515-2022-01143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广东恒胜建设监理有限公司</w:t>
      </w:r>
    </w:p>
    <w:p>
      <w:pPr>
        <w:ind w:firstLine="480"/>
      </w:pPr>
      <w:r>
        <w:rPr/>
        <w:t>如果我方在贵采购代理机构组织的</w:t>
      </w:r>
      <w:r>
        <w:rPr/>
        <w:t>高水平中职学校工艺美术专业群暨双精准示范专业建设项目</w:t>
      </w:r>
      <w:r>
        <w:rPr/>
        <w:t>招标中获中标（采购项目编号：</w:t>
      </w:r>
      <w:r>
        <w:rPr/>
        <w:t>440515-2022-01143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广东恒胜建设监理有限公司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高水平中职学校工艺美术专业群暨双精准示范专业建设项目</w:t>
      </w:r>
      <w:r>
        <w:rPr/>
        <w:t>项目（采购项目编号：</w:t>
      </w:r>
      <w:r>
        <w:rPr/>
        <w:t>440515-2022-01143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